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auto"/>
          <w:sz w:val="30"/>
          <w:szCs w:val="30"/>
        </w:rPr>
      </w:pPr>
    </w:p>
    <w:p>
      <w:pPr>
        <w:ind w:firstLine="2182" w:firstLineChars="494"/>
        <w:rPr>
          <w:rFonts w:hint="default" w:ascii="Times New Roman" w:hAnsi="Times New Roman" w:cs="Times New Roman"/>
          <w:b/>
          <w:color w:val="auto"/>
          <w:sz w:val="44"/>
          <w:szCs w:val="44"/>
        </w:rPr>
      </w:pPr>
    </w:p>
    <w:p>
      <w:pPr>
        <w:ind w:firstLine="442" w:firstLineChars="100"/>
        <w:rPr>
          <w:rFonts w:hint="default" w:ascii="Times New Roman" w:hAnsi="Times New Roman" w:cs="Times New Roman"/>
          <w:b/>
          <w:color w:val="auto"/>
          <w:sz w:val="44"/>
          <w:szCs w:val="44"/>
        </w:rPr>
      </w:pPr>
    </w:p>
    <w:p>
      <w:pPr>
        <w:ind w:left="-420" w:leftChars="-200" w:right="-512" w:rightChars="-244"/>
        <w:jc w:val="center"/>
        <w:rPr>
          <w:rFonts w:hint="default" w:ascii="Times New Roman" w:hAnsi="Times New Roman" w:eastAsia="方正小标宋_GBK" w:cs="Times New Roman"/>
          <w:bCs/>
          <w:color w:val="auto"/>
          <w:sz w:val="48"/>
          <w:szCs w:val="48"/>
        </w:rPr>
      </w:pPr>
      <w:r>
        <w:rPr>
          <w:rFonts w:hint="default" w:ascii="Times New Roman" w:hAnsi="Times New Roman" w:eastAsia="方正小标宋_GBK" w:cs="Times New Roman"/>
          <w:bCs/>
          <w:color w:val="auto"/>
          <w:sz w:val="48"/>
          <w:szCs w:val="48"/>
          <w:lang w:eastAsia="zh-CN"/>
        </w:rPr>
        <w:t>福建石狮</w:t>
      </w:r>
      <w:r>
        <w:rPr>
          <w:rFonts w:hint="default" w:ascii="Times New Roman" w:hAnsi="Times New Roman" w:eastAsia="方正小标宋_GBK" w:cs="Times New Roman"/>
          <w:bCs/>
          <w:color w:val="auto"/>
          <w:sz w:val="48"/>
          <w:szCs w:val="48"/>
        </w:rPr>
        <w:t>渝农商村镇银行有限责任公司</w:t>
      </w:r>
    </w:p>
    <w:p>
      <w:pPr>
        <w:ind w:firstLine="2380" w:firstLineChars="494"/>
        <w:rPr>
          <w:rFonts w:hint="default" w:ascii="Times New Roman" w:hAnsi="Times New Roman" w:cs="Times New Roman"/>
          <w:b/>
          <w:color w:val="auto"/>
          <w:sz w:val="48"/>
          <w:szCs w:val="48"/>
        </w:rPr>
      </w:pPr>
    </w:p>
    <w:p>
      <w:pPr>
        <w:rPr>
          <w:rFonts w:hint="default" w:ascii="Times New Roman" w:hAnsi="Times New Roman" w:eastAsia="方正小标宋_GBK" w:cs="Times New Roman"/>
          <w:bCs/>
          <w:color w:val="auto"/>
          <w:sz w:val="44"/>
          <w:szCs w:val="44"/>
        </w:rPr>
      </w:pP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20</w:t>
      </w:r>
      <w:r>
        <w:rPr>
          <w:rFonts w:hint="default" w:ascii="Times New Roman" w:hAnsi="Times New Roman" w:eastAsia="方正小标宋_GBK" w:cs="Times New Roman"/>
          <w:bCs/>
          <w:color w:val="auto"/>
          <w:sz w:val="44"/>
          <w:szCs w:val="44"/>
          <w:lang w:val="en-US" w:eastAsia="zh-CN"/>
        </w:rPr>
        <w:t>24</w:t>
      </w:r>
      <w:r>
        <w:rPr>
          <w:rFonts w:hint="default" w:ascii="Times New Roman" w:hAnsi="Times New Roman" w:eastAsia="方正小标宋_GBK" w:cs="Times New Roman"/>
          <w:bCs/>
          <w:color w:val="auto"/>
          <w:sz w:val="44"/>
          <w:szCs w:val="44"/>
        </w:rPr>
        <w:t>年度</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信</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息</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披</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露</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报</w:t>
      </w:r>
    </w:p>
    <w:p>
      <w:pPr>
        <w:jc w:val="center"/>
        <w:rPr>
          <w:rFonts w:hint="default" w:ascii="Times New Roman" w:hAnsi="Times New Roman" w:cs="Times New Roman"/>
          <w:b/>
          <w:color w:val="auto"/>
          <w:sz w:val="44"/>
          <w:szCs w:val="44"/>
        </w:rPr>
      </w:pPr>
      <w:r>
        <w:rPr>
          <w:rFonts w:hint="default" w:ascii="Times New Roman" w:hAnsi="Times New Roman" w:eastAsia="方正小标宋_GBK" w:cs="Times New Roman"/>
          <w:bCs/>
          <w:color w:val="auto"/>
          <w:sz w:val="44"/>
          <w:szCs w:val="44"/>
        </w:rPr>
        <w:t>告</w:t>
      </w:r>
    </w:p>
    <w:p>
      <w:pPr>
        <w:jc w:val="center"/>
        <w:rPr>
          <w:rFonts w:hint="default" w:ascii="Times New Roman" w:hAnsi="Times New Roman" w:cs="Times New Roman"/>
          <w:b/>
          <w:color w:val="auto"/>
          <w:sz w:val="44"/>
          <w:szCs w:val="44"/>
        </w:rPr>
      </w:pPr>
    </w:p>
    <w:p>
      <w:pPr>
        <w:jc w:val="center"/>
        <w:rPr>
          <w:rFonts w:hint="default" w:ascii="Times New Roman" w:hAnsi="Times New Roman" w:cs="Times New Roman"/>
          <w:b/>
          <w:color w:val="auto"/>
          <w:sz w:val="44"/>
          <w:szCs w:val="44"/>
        </w:rPr>
      </w:pPr>
    </w:p>
    <w:p>
      <w:pPr>
        <w:widowControl/>
        <w:spacing w:line="360" w:lineRule="auto"/>
        <w:jc w:val="center"/>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drawing>
          <wp:inline distT="0" distB="0" distL="114300" distR="114300">
            <wp:extent cx="4096385" cy="690880"/>
            <wp:effectExtent l="0" t="0" r="3175" b="10160"/>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7"/>
                    <a:stretch>
                      <a:fillRect/>
                    </a:stretch>
                  </pic:blipFill>
                  <pic:spPr>
                    <a:xfrm>
                      <a:off x="0" y="0"/>
                      <a:ext cx="4096385" cy="690880"/>
                    </a:xfrm>
                    <a:prstGeom prst="rect">
                      <a:avLst/>
                    </a:prstGeom>
                  </pic:spPr>
                </pic:pic>
              </a:graphicData>
            </a:graphic>
          </wp:inline>
        </w:drawing>
      </w: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6"/>
          <w:szCs w:val="36"/>
        </w:rPr>
        <w:t>重要提示</w:t>
      </w: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p>
    <w:p>
      <w:pPr>
        <w:widowControl/>
        <w:spacing w:line="360" w:lineRule="auto"/>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一、本公司执行董事、高级管理人员保证本报告所载资料不存在任何虚假记载、误导性陈述或者重大遗漏，并对其内容的真实性、准确性和完整性承担责任。</w:t>
      </w:r>
    </w:p>
    <w:p>
      <w:pPr>
        <w:widowControl/>
        <w:spacing w:line="360" w:lineRule="auto"/>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二、20</w:t>
      </w:r>
      <w:r>
        <w:rPr>
          <w:rFonts w:hint="default" w:ascii="Times New Roman" w:hAnsi="Times New Roman" w:eastAsia="方正仿宋_GBK" w:cs="Times New Roman"/>
          <w:color w:val="auto"/>
          <w:kern w:val="0"/>
          <w:sz w:val="32"/>
          <w:szCs w:val="32"/>
          <w:lang w:val="en-US" w:eastAsia="zh-CN"/>
        </w:rPr>
        <w:t>24</w:t>
      </w:r>
      <w:r>
        <w:rPr>
          <w:rFonts w:hint="default" w:ascii="Times New Roman" w:hAnsi="Times New Roman" w:eastAsia="方正仿宋_GBK" w:cs="Times New Roman"/>
          <w:color w:val="auto"/>
          <w:kern w:val="0"/>
          <w:sz w:val="32"/>
          <w:szCs w:val="32"/>
        </w:rPr>
        <w:t>年度按企业会计准则编制的财务数据已经</w:t>
      </w:r>
      <w:r>
        <w:rPr>
          <w:rFonts w:hint="default" w:ascii="Times New Roman" w:hAnsi="Times New Roman" w:eastAsia="方正仿宋_GBK" w:cs="Times New Roman"/>
          <w:color w:val="auto"/>
          <w:kern w:val="0"/>
          <w:sz w:val="32"/>
          <w:szCs w:val="32"/>
          <w:lang w:eastAsia="zh-CN"/>
        </w:rPr>
        <w:t>毕马威华振会计师事务所（特殊普通合伙）</w:t>
      </w:r>
      <w:r>
        <w:rPr>
          <w:rFonts w:hint="default" w:ascii="Times New Roman" w:hAnsi="Times New Roman" w:eastAsia="方正仿宋_GBK" w:cs="Times New Roman"/>
          <w:color w:val="auto"/>
          <w:kern w:val="0"/>
          <w:sz w:val="32"/>
          <w:szCs w:val="32"/>
        </w:rPr>
        <w:t>进行了审计，并出具了标准无保留意见的审计报告。</w:t>
      </w:r>
    </w:p>
    <w:p>
      <w:pPr>
        <w:widowControl/>
        <w:spacing w:line="360" w:lineRule="auto"/>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                            </w:t>
      </w:r>
    </w:p>
    <w:p>
      <w:pPr>
        <w:widowControl/>
        <w:spacing w:line="360" w:lineRule="auto"/>
        <w:jc w:val="left"/>
        <w:rPr>
          <w:rFonts w:hint="default" w:ascii="Times New Roman" w:hAnsi="Times New Roman" w:eastAsia="方正仿宋_GBK" w:cs="Times New Roman"/>
          <w:color w:val="auto"/>
          <w:kern w:val="0"/>
          <w:sz w:val="32"/>
          <w:szCs w:val="32"/>
        </w:rPr>
      </w:pPr>
    </w:p>
    <w:p>
      <w:pPr>
        <w:widowControl/>
        <w:spacing w:line="360" w:lineRule="auto"/>
        <w:ind w:firstLine="4320" w:firstLineChars="1350"/>
        <w:jc w:val="left"/>
        <w:rPr>
          <w:rFonts w:hint="default" w:ascii="Times New Roman" w:hAnsi="Times New Roman" w:eastAsia="方正仿宋_GBK" w:cs="Times New Roman"/>
          <w:color w:val="auto"/>
          <w:kern w:val="0"/>
          <w:sz w:val="32"/>
          <w:szCs w:val="32"/>
        </w:rPr>
      </w:pPr>
    </w:p>
    <w:p>
      <w:pPr>
        <w:widowControl/>
        <w:spacing w:line="360" w:lineRule="auto"/>
        <w:ind w:firstLine="4320" w:firstLineChars="135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日</w:t>
      </w: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pStyle w:val="7"/>
        <w:tabs>
          <w:tab w:val="left" w:pos="1050"/>
        </w:tabs>
        <w:jc w:val="center"/>
        <w:rPr>
          <w:rFonts w:hint="default" w:ascii="Times New Roman" w:hAnsi="Times New Roman" w:eastAsia="方正仿宋_GBK" w:cs="Times New Roman"/>
          <w:bCs w:val="0"/>
          <w:color w:val="auto"/>
          <w:spacing w:val="0"/>
          <w:sz w:val="44"/>
          <w:szCs w:val="44"/>
        </w:rPr>
      </w:pPr>
      <w:r>
        <w:rPr>
          <w:rFonts w:hint="default" w:ascii="Times New Roman" w:hAnsi="Times New Roman" w:eastAsia="方正仿宋_GBK" w:cs="Times New Roman"/>
          <w:bCs w:val="0"/>
          <w:color w:val="auto"/>
          <w:spacing w:val="0"/>
          <w:sz w:val="44"/>
          <w:szCs w:val="44"/>
        </w:rPr>
        <w:t>目录</w:t>
      </w:r>
    </w:p>
    <w:p>
      <w:pPr>
        <w:pStyle w:val="7"/>
        <w:tabs>
          <w:tab w:val="left" w:pos="1050"/>
        </w:tabs>
        <w:rPr>
          <w:rFonts w:hint="default" w:ascii="Times New Roman" w:hAnsi="Times New Roman" w:eastAsia="方正仿宋_GBK" w:cs="Times New Roman"/>
          <w:b w:val="0"/>
          <w:bCs w:val="0"/>
          <w:color w:val="auto"/>
          <w:spacing w:val="0"/>
          <w:sz w:val="32"/>
          <w:szCs w:val="32"/>
        </w:rPr>
      </w:pP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"_Toc359598603"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第一节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bCs w:val="0"/>
          <w:color w:val="auto"/>
          <w:spacing w:val="0"/>
          <w:sz w:val="32"/>
          <w:szCs w:val="32"/>
        </w:rPr>
        <w:t>公司基本情况简介</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"_Toc359598604"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第二节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color w:val="auto"/>
          <w:sz w:val="32"/>
          <w:szCs w:val="32"/>
        </w:rPr>
        <w:t>公司数据和业务数据摘要</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"_Toc359598605"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第三节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color w:val="auto"/>
          <w:sz w:val="32"/>
          <w:szCs w:val="32"/>
        </w:rPr>
        <w:t>股本变动和股东情况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"_Toc359598606"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第四节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color w:val="auto"/>
          <w:sz w:val="32"/>
          <w:szCs w:val="32"/>
        </w:rPr>
        <w:t>董（监）事、高级管理人员和员工情况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"_Toc359598607"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第五节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color w:val="auto"/>
          <w:sz w:val="32"/>
          <w:szCs w:val="32"/>
        </w:rPr>
        <w:t>部门设置情况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"_Toc359598608"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第六节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color w:val="auto"/>
          <w:sz w:val="32"/>
          <w:szCs w:val="32"/>
        </w:rPr>
        <w:t>公司治理情况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"_Toc359598609"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第七节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bCs w:val="0"/>
          <w:color w:val="auto"/>
          <w:spacing w:val="0"/>
          <w:sz w:val="32"/>
          <w:szCs w:val="32"/>
        </w:rPr>
        <w:t>公司主要业务情况</w:t>
      </w:r>
    </w:p>
    <w:p>
      <w:pPr>
        <w:pStyle w:val="7"/>
        <w:tabs>
          <w:tab w:val="left" w:pos="1050"/>
        </w:tabs>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rPr>
        <w:fldChar w:fldCharType="end"/>
      </w: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"_Toc359598607"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第八节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bCs w:val="0"/>
          <w:color w:val="auto"/>
          <w:spacing w:val="0"/>
          <w:sz w:val="32"/>
          <w:szCs w:val="32"/>
        </w:rPr>
        <w:t>全面风险管理情况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bCs/>
          <w:lang w:eastAsia="zh-CN"/>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"_Toc359598608"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第九节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bCs w:val="0"/>
          <w:color w:val="auto"/>
          <w:spacing w:val="0"/>
          <w:sz w:val="32"/>
          <w:szCs w:val="32"/>
          <w:lang w:eastAsia="zh-CN"/>
        </w:rPr>
        <w:t>消费者权益保护情况</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"_Toc359598608"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w:t>
      </w:r>
      <w:r>
        <w:rPr>
          <w:rFonts w:hint="default" w:ascii="Times New Roman" w:hAnsi="Times New Roman" w:eastAsia="方正仿宋_GBK" w:cs="Times New Roman"/>
          <w:b w:val="0"/>
          <w:bCs w:val="0"/>
          <w:color w:val="auto"/>
          <w:spacing w:val="0"/>
          <w:sz w:val="32"/>
          <w:szCs w:val="32"/>
          <w:lang w:eastAsia="zh-CN"/>
        </w:rPr>
        <w:t>十</w:t>
      </w:r>
      <w:r>
        <w:rPr>
          <w:rFonts w:hint="default" w:ascii="Times New Roman" w:hAnsi="Times New Roman" w:eastAsia="方正仿宋_GBK" w:cs="Times New Roman"/>
          <w:b w:val="0"/>
          <w:bCs w:val="0"/>
          <w:color w:val="auto"/>
          <w:spacing w:val="0"/>
          <w:sz w:val="32"/>
          <w:szCs w:val="32"/>
        </w:rPr>
        <w:t>节</w:t>
      </w:r>
      <w:r>
        <w:rPr>
          <w:rFonts w:hint="default" w:ascii="Times New Roman" w:hAnsi="Times New Roman" w:eastAsia="方正仿宋_GBK" w:cs="Times New Roman"/>
          <w:b w:val="0"/>
          <w:bCs w:val="0"/>
          <w:color w:val="auto"/>
          <w:spacing w:val="0"/>
          <w:sz w:val="32"/>
          <w:szCs w:val="32"/>
        </w:rPr>
        <w:tab/>
      </w:r>
      <w:r>
        <w:rPr>
          <w:rFonts w:hint="default" w:ascii="Times New Roman" w:hAnsi="Times New Roman" w:eastAsia="方正仿宋_GBK" w:cs="Times New Roman"/>
          <w:b w:val="0"/>
          <w:bCs w:val="0"/>
          <w:color w:val="auto"/>
          <w:spacing w:val="0"/>
          <w:sz w:val="32"/>
          <w:szCs w:val="32"/>
        </w:rPr>
        <w:t>重要事项</w:t>
      </w:r>
      <w:r>
        <w:rPr>
          <w:rFonts w:hint="default" w:ascii="Times New Roman" w:hAnsi="Times New Roman" w:eastAsia="方正仿宋_GBK" w:cs="Times New Roman"/>
          <w:b w:val="0"/>
          <w:bCs w:val="0"/>
          <w:color w:val="auto"/>
          <w:spacing w:val="0"/>
          <w:sz w:val="32"/>
          <w:szCs w:val="32"/>
        </w:rPr>
        <w:fldChar w:fldCharType="end"/>
      </w:r>
    </w:p>
    <w:p>
      <w:pPr>
        <w:pStyle w:val="7"/>
        <w:tabs>
          <w:tab w:val="left" w:pos="1050"/>
        </w:tabs>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 HYPERLINK \l "_Toc359598609" </w:instrText>
      </w:r>
      <w:r>
        <w:rPr>
          <w:rFonts w:hint="default" w:ascii="Times New Roman" w:hAnsi="Times New Roman" w:eastAsia="方正仿宋_GBK" w:cs="Times New Roman"/>
          <w:color w:val="auto"/>
        </w:rPr>
        <w:fldChar w:fldCharType="separate"/>
      </w:r>
      <w:r>
        <w:rPr>
          <w:rFonts w:hint="default" w:ascii="Times New Roman" w:hAnsi="Times New Roman" w:eastAsia="方正仿宋_GBK" w:cs="Times New Roman"/>
          <w:b w:val="0"/>
          <w:bCs w:val="0"/>
          <w:color w:val="auto"/>
          <w:spacing w:val="0"/>
          <w:sz w:val="32"/>
          <w:szCs w:val="32"/>
        </w:rPr>
        <w:t>第十</w:t>
      </w:r>
      <w:r>
        <w:rPr>
          <w:rFonts w:hint="default" w:ascii="Times New Roman" w:hAnsi="Times New Roman" w:eastAsia="方正仿宋_GBK" w:cs="Times New Roman"/>
          <w:b w:val="0"/>
          <w:bCs w:val="0"/>
          <w:color w:val="auto"/>
          <w:spacing w:val="0"/>
          <w:sz w:val="32"/>
          <w:szCs w:val="32"/>
          <w:lang w:eastAsia="zh-CN"/>
        </w:rPr>
        <w:t>一</w:t>
      </w:r>
      <w:r>
        <w:rPr>
          <w:rFonts w:hint="default" w:ascii="Times New Roman" w:hAnsi="Times New Roman" w:eastAsia="方正仿宋_GBK" w:cs="Times New Roman"/>
          <w:b w:val="0"/>
          <w:bCs w:val="0"/>
          <w:color w:val="auto"/>
          <w:spacing w:val="0"/>
          <w:sz w:val="32"/>
          <w:szCs w:val="32"/>
        </w:rPr>
        <w:t>节</w:t>
      </w:r>
      <w:r>
        <w:rPr>
          <w:rFonts w:hint="default" w:ascii="Times New Roman" w:hAnsi="Times New Roman" w:eastAsia="方正仿宋_GBK" w:cs="Times New Roman"/>
          <w:b w:val="0"/>
          <w:color w:val="auto"/>
          <w:sz w:val="32"/>
          <w:szCs w:val="32"/>
        </w:rPr>
        <w:t>财务报告</w:t>
      </w:r>
      <w:r>
        <w:rPr>
          <w:rFonts w:hint="default" w:ascii="Times New Roman" w:hAnsi="Times New Roman" w:eastAsia="方正仿宋_GBK" w:cs="Times New Roman"/>
          <w:b w:val="0"/>
          <w:bCs w:val="0"/>
          <w:color w:val="auto"/>
          <w:spacing w:val="0"/>
          <w:sz w:val="32"/>
          <w:szCs w:val="32"/>
        </w:rPr>
        <w:fldChar w:fldCharType="end"/>
      </w:r>
    </w:p>
    <w:p>
      <w:pPr>
        <w:rPr>
          <w:rFonts w:hint="default" w:ascii="Times New Roman" w:hAnsi="Times New Roman" w:cs="Times New Roman"/>
          <w:color w:val="auto"/>
        </w:rPr>
      </w:pPr>
    </w:p>
    <w:p>
      <w:pPr>
        <w:rPr>
          <w:rFonts w:hint="default" w:ascii="Times New Roman" w:hAnsi="Times New Roman" w:cs="Times New Roman"/>
          <w:color w:val="auto"/>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both"/>
        <w:rPr>
          <w:rFonts w:hint="default" w:ascii="Times New Roman" w:hAnsi="Times New Roman" w:eastAsia="仿宋_GB2312"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第一节  公司基本情况简介</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【中文名称】</w:t>
      </w:r>
      <w:r>
        <w:rPr>
          <w:rFonts w:hint="default" w:ascii="Times New Roman" w:hAnsi="Times New Roman" w:eastAsia="方正仿宋_GBK" w:cs="Times New Roman"/>
          <w:color w:val="auto"/>
          <w:kern w:val="0"/>
          <w:sz w:val="32"/>
          <w:szCs w:val="32"/>
          <w:highlight w:val="none"/>
          <w:lang w:eastAsia="zh-CN"/>
        </w:rPr>
        <w:t>福建石狮</w:t>
      </w:r>
      <w:r>
        <w:rPr>
          <w:rFonts w:hint="default" w:ascii="Times New Roman" w:hAnsi="Times New Roman" w:eastAsia="方正仿宋_GBK" w:cs="Times New Roman"/>
          <w:color w:val="auto"/>
          <w:kern w:val="0"/>
          <w:sz w:val="32"/>
          <w:szCs w:val="32"/>
          <w:highlight w:val="none"/>
        </w:rPr>
        <w:t>渝农商村镇银行有限责任公司</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（简称：</w:t>
      </w:r>
      <w:r>
        <w:rPr>
          <w:rFonts w:hint="default" w:ascii="Times New Roman" w:hAnsi="Times New Roman" w:eastAsia="方正仿宋_GBK" w:cs="Times New Roman"/>
          <w:color w:val="auto"/>
          <w:kern w:val="0"/>
          <w:sz w:val="32"/>
          <w:szCs w:val="32"/>
          <w:highlight w:val="none"/>
          <w:lang w:eastAsia="zh-CN"/>
        </w:rPr>
        <w:t>石狮</w:t>
      </w:r>
      <w:r>
        <w:rPr>
          <w:rFonts w:hint="default" w:ascii="Times New Roman" w:hAnsi="Times New Roman" w:eastAsia="方正仿宋_GBK" w:cs="Times New Roman"/>
          <w:color w:val="auto"/>
          <w:kern w:val="0"/>
          <w:sz w:val="32"/>
          <w:szCs w:val="32"/>
          <w:highlight w:val="none"/>
        </w:rPr>
        <w:t>渝农商村镇银行）</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b/>
          <w:bCs/>
          <w:color w:val="auto"/>
          <w:kern w:val="0"/>
          <w:sz w:val="32"/>
          <w:szCs w:val="32"/>
          <w:highlight w:val="none"/>
        </w:rPr>
        <w:t>【英文名称】</w:t>
      </w:r>
      <w:r>
        <w:rPr>
          <w:rFonts w:hint="default" w:ascii="Times New Roman" w:hAnsi="Times New Roman" w:eastAsia="方正仿宋_GBK" w:cs="Times New Roman"/>
          <w:color w:val="auto"/>
          <w:sz w:val="32"/>
          <w:szCs w:val="32"/>
          <w:highlight w:val="none"/>
          <w:u w:val="none"/>
        </w:rPr>
        <w:t>FUJIAN SHISHI CQRC County Bank Co.，Ltd.</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（简称：</w:t>
      </w:r>
      <w:r>
        <w:rPr>
          <w:rFonts w:hint="default" w:ascii="Times New Roman" w:hAnsi="Times New Roman" w:eastAsia="方正仿宋_GBK" w:cs="Times New Roman"/>
          <w:color w:val="auto"/>
          <w:sz w:val="32"/>
          <w:szCs w:val="32"/>
          <w:highlight w:val="none"/>
          <w:u w:val="none"/>
        </w:rPr>
        <w:t>SHISHI CQRC County Bank</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b/>
          <w:bCs/>
          <w:color w:val="auto"/>
          <w:kern w:val="0"/>
          <w:sz w:val="32"/>
          <w:szCs w:val="32"/>
          <w:highlight w:val="none"/>
        </w:rPr>
        <w:t>【法定代表人】</w:t>
      </w:r>
      <w:r>
        <w:rPr>
          <w:rFonts w:hint="default" w:ascii="Times New Roman" w:hAnsi="Times New Roman" w:eastAsia="方正仿宋_GBK" w:cs="Times New Roman"/>
          <w:color w:val="auto"/>
          <w:kern w:val="0"/>
          <w:sz w:val="32"/>
          <w:szCs w:val="32"/>
          <w:highlight w:val="none"/>
          <w:lang w:val="en-US" w:eastAsia="zh-CN"/>
        </w:rPr>
        <w:t>王瑜</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【其他有关资料】</w:t>
      </w:r>
    </w:p>
    <w:p>
      <w:pPr>
        <w:pStyle w:val="15"/>
        <w:keepNext w:val="0"/>
        <w:keepLines w:val="0"/>
        <w:pageBreakBefore w:val="0"/>
        <w:numPr>
          <w:ilvl w:val="0"/>
          <w:numId w:val="0"/>
        </w:numPr>
        <w:kinsoku/>
        <w:wordWrap/>
        <w:overflowPunct/>
        <w:topLinePunct w:val="0"/>
        <w:autoSpaceDE/>
        <w:autoSpaceDN/>
        <w:bidi w:val="0"/>
        <w:spacing w:line="580" w:lineRule="exact"/>
        <w:ind w:leftChars="200" w:firstLine="320" w:firstLineChars="1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联系地址：</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邮政编码：</w:t>
      </w:r>
      <w:r>
        <w:rPr>
          <w:rFonts w:hint="default" w:ascii="Times New Roman" w:hAnsi="Times New Roman" w:eastAsia="方正仿宋_GBK" w:cs="Times New Roman"/>
          <w:color w:val="auto"/>
          <w:sz w:val="32"/>
          <w:szCs w:val="32"/>
          <w:lang w:val="en-US" w:eastAsia="zh-CN"/>
        </w:rPr>
        <w:t>362700</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电话：</w:t>
      </w:r>
      <w:r>
        <w:rPr>
          <w:rFonts w:hint="default" w:ascii="Times New Roman" w:hAnsi="Times New Roman" w:eastAsia="方正仿宋_GBK" w:cs="Times New Roman"/>
          <w:color w:val="auto"/>
          <w:kern w:val="0"/>
          <w:sz w:val="32"/>
          <w:szCs w:val="32"/>
          <w:lang w:val="en-US" w:eastAsia="zh-CN"/>
        </w:rPr>
        <w:t>0595-82269866</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传真：</w:t>
      </w:r>
      <w:r>
        <w:rPr>
          <w:rFonts w:hint="default" w:ascii="Times New Roman" w:hAnsi="Times New Roman" w:eastAsia="方正仿宋_GBK" w:cs="Times New Roman"/>
          <w:color w:val="auto"/>
          <w:kern w:val="0"/>
          <w:sz w:val="32"/>
          <w:szCs w:val="32"/>
          <w:lang w:val="en-US" w:eastAsia="zh-CN"/>
        </w:rPr>
        <w:t>0595-82268878</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首次注册登记日期：</w:t>
      </w:r>
      <w:r>
        <w:rPr>
          <w:rFonts w:hint="default" w:ascii="Times New Roman" w:hAnsi="Times New Roman" w:eastAsia="方正仿宋_GBK" w:cs="Times New Roman"/>
          <w:color w:val="auto"/>
          <w:kern w:val="0"/>
          <w:sz w:val="32"/>
          <w:szCs w:val="32"/>
          <w:highlight w:val="none"/>
          <w:lang w:val="en-US" w:eastAsia="zh-CN"/>
        </w:rPr>
        <w:t>2015</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日</w:t>
      </w:r>
    </w:p>
    <w:p>
      <w:pPr>
        <w:pStyle w:val="15"/>
        <w:keepNext w:val="0"/>
        <w:keepLines w:val="0"/>
        <w:pageBreakBefore w:val="0"/>
        <w:numPr>
          <w:ilvl w:val="0"/>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首次注册登记地点：</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lang w:val="en-US"/>
        </w:rPr>
      </w:pPr>
      <w:r>
        <w:rPr>
          <w:rFonts w:hint="default" w:ascii="Times New Roman" w:hAnsi="Times New Roman" w:eastAsia="方正仿宋_GBK" w:cs="Times New Roman"/>
          <w:color w:val="auto"/>
          <w:kern w:val="0"/>
          <w:sz w:val="32"/>
          <w:szCs w:val="32"/>
          <w:highlight w:val="none"/>
        </w:rPr>
        <w:t>统一社会信用代码：</w:t>
      </w:r>
      <w:r>
        <w:rPr>
          <w:rFonts w:hint="default" w:ascii="Times New Roman" w:hAnsi="Times New Roman" w:eastAsia="方正仿宋_GBK" w:cs="Times New Roman"/>
          <w:color w:val="auto"/>
          <w:kern w:val="0"/>
          <w:sz w:val="32"/>
          <w:szCs w:val="32"/>
          <w:highlight w:val="none"/>
          <w:lang w:val="en-US" w:eastAsia="zh-CN"/>
        </w:rPr>
        <w:t>91350581MA32TUAK17</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聘请的会计师事务所名称：</w:t>
      </w:r>
      <w:r>
        <w:rPr>
          <w:rFonts w:hint="default" w:ascii="Times New Roman" w:hAnsi="Times New Roman" w:eastAsia="方正仿宋_GBK" w:cs="Times New Roman"/>
          <w:color w:val="auto"/>
          <w:kern w:val="0"/>
          <w:sz w:val="32"/>
          <w:szCs w:val="32"/>
          <w:highlight w:val="none"/>
          <w:lang w:eastAsia="zh-CN"/>
        </w:rPr>
        <w:t>毕马威华振会计师事务所（特殊普通合伙）</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注册会计师</w:t>
      </w:r>
      <w:bookmarkStart w:id="3" w:name="_GoBack"/>
      <w:r>
        <w:rPr>
          <w:rFonts w:hint="default"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张晨晨</w:t>
      </w:r>
      <w:r>
        <w:rPr>
          <w:rFonts w:hint="default" w:ascii="Times New Roman" w:hAnsi="Times New Roman" w:eastAsia="方正仿宋_GBK" w:cs="Times New Roman"/>
          <w:color w:val="auto"/>
          <w:kern w:val="0"/>
          <w:sz w:val="32"/>
          <w:szCs w:val="32"/>
          <w:highlight w:val="none"/>
          <w:lang w:eastAsia="zh-CN"/>
        </w:rPr>
        <w:t>、王威舜</w:t>
      </w:r>
      <w:r>
        <w:rPr>
          <w:rFonts w:hint="default" w:ascii="Times New Roman" w:hAnsi="Times New Roman" w:eastAsia="方正仿宋_GBK" w:cs="Times New Roman"/>
          <w:color w:val="auto"/>
          <w:kern w:val="0"/>
          <w:sz w:val="32"/>
          <w:szCs w:val="32"/>
          <w:highlight w:val="none"/>
        </w:rPr>
        <w:t>　</w:t>
      </w:r>
    </w:p>
    <w:bookmarkEnd w:id="3"/>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yellow"/>
        </w:rPr>
      </w:pP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yellow"/>
        </w:rPr>
      </w:pP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yellow"/>
        </w:rPr>
      </w:pP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yellow"/>
        </w:rPr>
      </w:pP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yellow"/>
        </w:rPr>
      </w:pPr>
    </w:p>
    <w:p>
      <w:pPr>
        <w:keepNext w:val="0"/>
        <w:keepLines w:val="0"/>
        <w:pageBreakBefore w:val="0"/>
        <w:widowControl/>
        <w:numPr>
          <w:ilvl w:val="0"/>
          <w:numId w:val="1"/>
        </w:numPr>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 公司数据和业务数据摘要</w:t>
      </w:r>
    </w:p>
    <w:p>
      <w:pPr>
        <w:keepNext w:val="0"/>
        <w:keepLines w:val="0"/>
        <w:pageBreakBefore w:val="0"/>
        <w:widowControl/>
        <w:kinsoku/>
        <w:wordWrap/>
        <w:overflowPunct/>
        <w:topLinePunct w:val="0"/>
        <w:autoSpaceDE/>
        <w:autoSpaceDN/>
        <w:bidi w:val="0"/>
        <w:spacing w:line="580" w:lineRule="exact"/>
        <w:ind w:firstLine="470" w:firstLineChars="147"/>
        <w:jc w:val="left"/>
        <w:rPr>
          <w:rFonts w:hint="default" w:ascii="Times New Roman" w:hAnsi="Times New Roman" w:eastAsia="方正黑体_GBK" w:cs="Times New Roman"/>
          <w:b/>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一、截止报告期末前两年的主要会计数据</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单位：万元（人民币）</w:t>
      </w:r>
    </w:p>
    <w:tbl>
      <w:tblPr>
        <w:tblStyle w:val="10"/>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65"/>
        <w:gridCol w:w="2340"/>
        <w:gridCol w:w="2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项        目</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20</w:t>
            </w:r>
            <w:r>
              <w:rPr>
                <w:rFonts w:hint="default" w:ascii="Times New Roman" w:hAnsi="Times New Roman" w:eastAsia="方正仿宋_GBK" w:cs="Times New Roman"/>
                <w:b/>
                <w:color w:val="auto"/>
                <w:kern w:val="0"/>
                <w:sz w:val="28"/>
                <w:szCs w:val="28"/>
                <w:highlight w:val="none"/>
                <w:lang w:eastAsia="zh-CN"/>
              </w:rPr>
              <w:t>2</w:t>
            </w:r>
            <w:r>
              <w:rPr>
                <w:rFonts w:hint="default" w:ascii="Times New Roman" w:hAnsi="Times New Roman" w:eastAsia="方正仿宋_GBK" w:cs="Times New Roman"/>
                <w:b/>
                <w:color w:val="auto"/>
                <w:kern w:val="0"/>
                <w:sz w:val="28"/>
                <w:szCs w:val="28"/>
                <w:highlight w:val="none"/>
                <w:lang w:val="en-US" w:eastAsia="zh-CN"/>
              </w:rPr>
              <w:t>3</w:t>
            </w:r>
            <w:r>
              <w:rPr>
                <w:rFonts w:hint="default" w:ascii="Times New Roman" w:hAnsi="Times New Roman" w:eastAsia="方正仿宋_GBK" w:cs="Times New Roman"/>
                <w:b/>
                <w:color w:val="auto"/>
                <w:kern w:val="0"/>
                <w:sz w:val="28"/>
                <w:szCs w:val="28"/>
                <w:highlight w:val="none"/>
              </w:rPr>
              <w:t>年度</w:t>
            </w:r>
          </w:p>
        </w:tc>
        <w:tc>
          <w:tcPr>
            <w:tcW w:w="24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20</w:t>
            </w:r>
            <w:r>
              <w:rPr>
                <w:rFonts w:hint="default" w:ascii="Times New Roman" w:hAnsi="Times New Roman" w:eastAsia="方正仿宋_GBK" w:cs="Times New Roman"/>
                <w:b/>
                <w:color w:val="auto"/>
                <w:kern w:val="0"/>
                <w:sz w:val="28"/>
                <w:szCs w:val="28"/>
                <w:highlight w:val="none"/>
                <w:lang w:val="en-US" w:eastAsia="zh-CN"/>
              </w:rPr>
              <w:t>24</w:t>
            </w:r>
            <w:r>
              <w:rPr>
                <w:rFonts w:hint="default" w:ascii="Times New Roman" w:hAnsi="Times New Roman" w:eastAsia="方正仿宋_GBK" w:cs="Times New Roman"/>
                <w:b/>
                <w:color w:val="auto"/>
                <w:kern w:val="0"/>
                <w:sz w:val="28"/>
                <w:szCs w:val="28"/>
                <w:highlight w:val="none"/>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总资产</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39568.47</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rightChars="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41362.94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存款余额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13438.75</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rightChars="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14234.59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贷款余额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33643.3</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textAlignment w:val="top"/>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36373.27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每股净资产（元/股）</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480" w:rightChars="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r>
    </w:tbl>
    <w:p>
      <w:pPr>
        <w:widowControl/>
        <w:spacing w:line="360" w:lineRule="auto"/>
        <w:ind w:firstLine="640" w:firstLineChars="200"/>
        <w:jc w:val="left"/>
        <w:rPr>
          <w:rFonts w:hint="default" w:ascii="Times New Roman" w:hAnsi="Times New Roman" w:eastAsia="方正黑体_GBK" w:cs="Times New Roman"/>
          <w:bCs/>
          <w:kern w:val="0"/>
          <w:sz w:val="32"/>
          <w:szCs w:val="32"/>
        </w:rPr>
      </w:pPr>
      <w:bookmarkStart w:id="0" w:name="股权结构"/>
      <w:r>
        <w:rPr>
          <w:rFonts w:hint="default" w:ascii="Times New Roman" w:hAnsi="Times New Roman" w:eastAsia="方正黑体_GBK" w:cs="Times New Roman"/>
          <w:bCs/>
          <w:kern w:val="0"/>
          <w:sz w:val="32"/>
          <w:szCs w:val="32"/>
        </w:rPr>
        <w:t>二、截止报告期末前两年的补充财务指标</w:t>
      </w:r>
    </w:p>
    <w:p>
      <w:pPr>
        <w:widowControl/>
        <w:spacing w:line="360" w:lineRule="auto"/>
        <w:jc w:val="righ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单位：%</w:t>
      </w:r>
    </w:p>
    <w:tbl>
      <w:tblPr>
        <w:tblStyle w:val="10"/>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8"/>
        <w:gridCol w:w="1260"/>
        <w:gridCol w:w="198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主要指标</w:t>
            </w:r>
          </w:p>
        </w:tc>
        <w:tc>
          <w:tcPr>
            <w:tcW w:w="126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标准值</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2024年度</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2023年度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资本充足率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81.94</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74.06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存贷款比例(本外币)</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255.53</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250.35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不良贷款比率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0.34</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单一最大客户授信集中度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0.46</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rPr>
              <w:t>最大单一集团客户授信集中度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0.46</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流动性比例（人民币）</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147.49</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101.51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拨贷比</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2.52</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2.87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杠杆率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28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48.39</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49.97</w:t>
            </w:r>
          </w:p>
        </w:tc>
      </w:tr>
    </w:tbl>
    <w:p>
      <w:pPr>
        <w:widowControl/>
        <w:spacing w:line="360" w:lineRule="auto"/>
        <w:ind w:firstLine="640" w:firstLineChars="200"/>
        <w:jc w:val="left"/>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三、资产减值准备金情况</w:t>
      </w:r>
    </w:p>
    <w:p>
      <w:pPr>
        <w:widowControl/>
        <w:spacing w:line="360" w:lineRule="auto"/>
        <w:jc w:val="righ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单位：万元（人民币）</w:t>
      </w:r>
    </w:p>
    <w:tbl>
      <w:tblPr>
        <w:tblStyle w:val="10"/>
        <w:tblW w:w="879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90"/>
        <w:gridCol w:w="2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     目</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金     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期初余额</w:t>
            </w:r>
          </w:p>
        </w:tc>
        <w:tc>
          <w:tcPr>
            <w:tcW w:w="250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980.26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报告期计提</w:t>
            </w:r>
          </w:p>
        </w:tc>
        <w:tc>
          <w:tcPr>
            <w:tcW w:w="250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-60.74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本期收回以前年度核销</w:t>
            </w:r>
          </w:p>
        </w:tc>
        <w:tc>
          <w:tcPr>
            <w:tcW w:w="250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3.94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报告期核销</w:t>
            </w:r>
          </w:p>
        </w:tc>
        <w:tc>
          <w:tcPr>
            <w:tcW w:w="250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期末余额</w:t>
            </w:r>
          </w:p>
        </w:tc>
        <w:tc>
          <w:tcPr>
            <w:tcW w:w="2500"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923.47</w:t>
            </w:r>
          </w:p>
        </w:tc>
      </w:tr>
    </w:tbl>
    <w:p>
      <w:pPr>
        <w:widowControl/>
        <w:spacing w:line="360" w:lineRule="auto"/>
        <w:ind w:firstLine="640" w:firstLineChars="200"/>
        <w:jc w:val="left"/>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四、资本的构成情况</w:t>
      </w:r>
    </w:p>
    <w:p>
      <w:pPr>
        <w:widowControl/>
        <w:spacing w:line="360" w:lineRule="auto"/>
        <w:jc w:val="righ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单位：万元（人民币）</w:t>
      </w:r>
    </w:p>
    <w:tbl>
      <w:tblPr>
        <w:tblStyle w:val="10"/>
        <w:tblW w:w="88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53"/>
        <w:gridCol w:w="33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     目</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2024年度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核心一级资本净额</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20742.31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一级资本净额</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20742.31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资本净额</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21543.26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应用资本底线后的风险加权资产合计</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26291.75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核心一级资本充足率%</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78.89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一级资本充足率%</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78.89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1"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资本充足率%</w:t>
            </w:r>
          </w:p>
        </w:tc>
        <w:tc>
          <w:tcPr>
            <w:tcW w:w="332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81.94</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32"/>
          <w:szCs w:val="32"/>
        </w:rPr>
      </w:pPr>
      <w:r>
        <w:rPr>
          <w:rFonts w:hint="default" w:ascii="Times New Roman" w:hAnsi="Times New Roman" w:eastAsia="方正小标宋_GBK" w:cs="Times New Roman"/>
          <w:bCs/>
          <w:color w:val="auto"/>
          <w:kern w:val="0"/>
          <w:sz w:val="32"/>
          <w:szCs w:val="32"/>
        </w:rPr>
        <w:t>第三节  股本变动和股东情况</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一、股本变化情况</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截至20</w:t>
      </w:r>
      <w:r>
        <w:rPr>
          <w:rFonts w:hint="default" w:ascii="Times New Roman" w:hAnsi="Times New Roman" w:eastAsia="方正仿宋_GBK" w:cs="Times New Roman"/>
          <w:color w:val="auto"/>
          <w:kern w:val="0"/>
          <w:sz w:val="32"/>
          <w:szCs w:val="32"/>
          <w:highlight w:val="none"/>
          <w:lang w:val="en-US" w:eastAsia="zh-CN"/>
        </w:rPr>
        <w:t>24</w:t>
      </w:r>
      <w:r>
        <w:rPr>
          <w:rFonts w:hint="default" w:ascii="Times New Roman" w:hAnsi="Times New Roman" w:eastAsia="方正仿宋_GBK" w:cs="Times New Roman"/>
          <w:color w:val="auto"/>
          <w:kern w:val="0"/>
          <w:sz w:val="32"/>
          <w:szCs w:val="32"/>
          <w:highlight w:val="none"/>
        </w:rPr>
        <w:t>年12月31日，本行注册资本为人民币</w:t>
      </w:r>
      <w:r>
        <w:rPr>
          <w:rFonts w:hint="default" w:ascii="Times New Roman" w:hAnsi="Times New Roman" w:eastAsia="方正仿宋_GBK" w:cs="Times New Roman"/>
          <w:color w:val="auto"/>
          <w:kern w:val="0"/>
          <w:sz w:val="32"/>
          <w:szCs w:val="32"/>
          <w:highlight w:val="none"/>
          <w:lang w:val="en-US" w:eastAsia="zh-CN"/>
        </w:rPr>
        <w:t>贰</w:t>
      </w:r>
      <w:r>
        <w:rPr>
          <w:rFonts w:hint="default" w:ascii="Times New Roman" w:hAnsi="Times New Roman" w:eastAsia="方正仿宋_GBK" w:cs="Times New Roman"/>
          <w:color w:val="auto"/>
          <w:kern w:val="0"/>
          <w:sz w:val="32"/>
          <w:szCs w:val="32"/>
          <w:highlight w:val="none"/>
        </w:rPr>
        <w:t>亿元整，实收资本为人民币</w:t>
      </w:r>
      <w:r>
        <w:rPr>
          <w:rFonts w:hint="default" w:ascii="Times New Roman" w:hAnsi="Times New Roman" w:eastAsia="方正仿宋_GBK" w:cs="Times New Roman"/>
          <w:color w:val="auto"/>
          <w:kern w:val="0"/>
          <w:sz w:val="32"/>
          <w:szCs w:val="32"/>
          <w:highlight w:val="none"/>
          <w:lang w:eastAsia="zh-CN"/>
        </w:rPr>
        <w:t>贰</w:t>
      </w:r>
      <w:r>
        <w:rPr>
          <w:rFonts w:hint="default" w:ascii="Times New Roman" w:hAnsi="Times New Roman" w:eastAsia="方正仿宋_GBK" w:cs="Times New Roman"/>
          <w:color w:val="auto"/>
          <w:kern w:val="0"/>
          <w:sz w:val="32"/>
          <w:szCs w:val="32"/>
          <w:highlight w:val="none"/>
        </w:rPr>
        <w:t>亿元整。</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二、股权结构</w:t>
      </w:r>
      <w:bookmarkEnd w:id="0"/>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highlight w:val="none"/>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highlight w:val="none"/>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股权结构情况表一</w:t>
      </w:r>
    </w:p>
    <w:tbl>
      <w:tblPr>
        <w:tblStyle w:val="10"/>
        <w:tblW w:w="8899" w:type="dxa"/>
        <w:tblInd w:w="-3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6"/>
        <w:gridCol w:w="1018"/>
        <w:gridCol w:w="1525"/>
        <w:gridCol w:w="1236"/>
        <w:gridCol w:w="951"/>
        <w:gridCol w:w="24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43" w:hRule="atLeast"/>
        </w:trPr>
        <w:tc>
          <w:tcPr>
            <w:tcW w:w="168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股东名称</w:t>
            </w:r>
          </w:p>
        </w:tc>
        <w:tc>
          <w:tcPr>
            <w:tcW w:w="10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注册地</w:t>
            </w:r>
          </w:p>
        </w:tc>
        <w:tc>
          <w:tcPr>
            <w:tcW w:w="15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股东性质</w:t>
            </w:r>
          </w:p>
        </w:tc>
        <w:tc>
          <w:tcPr>
            <w:tcW w:w="12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持股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（万股）</w:t>
            </w:r>
          </w:p>
        </w:tc>
        <w:tc>
          <w:tcPr>
            <w:tcW w:w="95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持股比例</w:t>
            </w:r>
          </w:p>
        </w:tc>
        <w:tc>
          <w:tcPr>
            <w:tcW w:w="24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派驻董事、监事（姓名/职务）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7" w:hRule="atLeast"/>
        </w:trPr>
        <w:tc>
          <w:tcPr>
            <w:tcW w:w="168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重庆农村商业银行股份有限公司</w:t>
            </w:r>
          </w:p>
        </w:tc>
        <w:tc>
          <w:tcPr>
            <w:tcW w:w="10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重庆</w:t>
            </w:r>
          </w:p>
        </w:tc>
        <w:tc>
          <w:tcPr>
            <w:tcW w:w="15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国有企业</w:t>
            </w:r>
          </w:p>
        </w:tc>
        <w:tc>
          <w:tcPr>
            <w:tcW w:w="12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u w:val="none"/>
              </w:rPr>
              <w:t>1</w:t>
            </w:r>
            <w:r>
              <w:rPr>
                <w:rFonts w:hint="default" w:ascii="Times New Roman" w:hAnsi="Times New Roman" w:eastAsia="方正仿宋_GBK" w:cs="Times New Roman"/>
                <w:color w:val="auto"/>
                <w:kern w:val="0"/>
                <w:sz w:val="24"/>
                <w:szCs w:val="24"/>
                <w:highlight w:val="none"/>
                <w:u w:val="none"/>
                <w:lang w:val="en-US" w:eastAsia="zh-CN"/>
              </w:rPr>
              <w:t>8</w:t>
            </w:r>
            <w:r>
              <w:rPr>
                <w:rFonts w:hint="default" w:ascii="Times New Roman" w:hAnsi="Times New Roman" w:eastAsia="方正仿宋_GBK" w:cs="Times New Roman"/>
                <w:color w:val="auto"/>
                <w:kern w:val="0"/>
                <w:sz w:val="24"/>
                <w:szCs w:val="24"/>
                <w:highlight w:val="none"/>
                <w:u w:val="none"/>
              </w:rPr>
              <w:t>200</w:t>
            </w:r>
          </w:p>
        </w:tc>
        <w:tc>
          <w:tcPr>
            <w:tcW w:w="95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91</w:t>
            </w:r>
            <w:r>
              <w:rPr>
                <w:rFonts w:hint="default" w:ascii="Times New Roman" w:hAnsi="Times New Roman" w:eastAsia="方正仿宋_GBK" w:cs="Times New Roman"/>
                <w:color w:val="auto"/>
                <w:kern w:val="0"/>
                <w:sz w:val="24"/>
                <w:szCs w:val="24"/>
                <w:highlight w:val="none"/>
              </w:rPr>
              <w:t>%</w:t>
            </w:r>
          </w:p>
        </w:tc>
        <w:tc>
          <w:tcPr>
            <w:tcW w:w="24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王瑜</w:t>
            </w:r>
            <w:r>
              <w:rPr>
                <w:rFonts w:hint="default" w:ascii="Times New Roman" w:hAnsi="Times New Roman" w:eastAsia="方正仿宋_GBK" w:cs="Times New Roman"/>
                <w:color w:val="auto"/>
                <w:kern w:val="0"/>
                <w:sz w:val="24"/>
                <w:szCs w:val="24"/>
                <w:highlight w:val="none"/>
              </w:rPr>
              <w:t>/执行董事兼行长</w:t>
            </w:r>
          </w:p>
          <w:p>
            <w:pPr>
              <w:pStyle w:val="9"/>
              <w:keepNext w:val="0"/>
              <w:keepLines w:val="0"/>
              <w:suppressLineNumbers w:val="0"/>
              <w:spacing w:beforeAutospacing="0" w:afterAutospacing="0"/>
              <w:ind w:left="0" w:right="0"/>
              <w:jc w:val="both"/>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bidi="ar-SA"/>
              </w:rPr>
              <w:t>张鹏/监事长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contextualSpacing/>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u w:val="none"/>
              </w:rPr>
              <w:t>石狮市国有投资发展有限公司</w:t>
            </w:r>
          </w:p>
        </w:tc>
        <w:tc>
          <w:tcPr>
            <w:tcW w:w="10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石狮</w:t>
            </w:r>
          </w:p>
        </w:tc>
        <w:tc>
          <w:tcPr>
            <w:tcW w:w="15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国有企业</w:t>
            </w:r>
          </w:p>
        </w:tc>
        <w:tc>
          <w:tcPr>
            <w:tcW w:w="123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u w:val="none"/>
              </w:rPr>
              <w:t>1800</w:t>
            </w:r>
          </w:p>
        </w:tc>
        <w:tc>
          <w:tcPr>
            <w:tcW w:w="95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9%</w:t>
            </w:r>
          </w:p>
        </w:tc>
        <w:tc>
          <w:tcPr>
            <w:tcW w:w="248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lang w:eastAsia="zh-CN"/>
              </w:rPr>
            </w:pPr>
          </w:p>
        </w:tc>
      </w:tr>
    </w:tbl>
    <w:tbl>
      <w:tblPr>
        <w:tblStyle w:val="10"/>
        <w:tblpPr w:leftFromText="180" w:rightFromText="180" w:vertAnchor="text" w:horzAnchor="page" w:tblpX="1432" w:tblpY="1047"/>
        <w:tblOverlap w:val="never"/>
        <w:tblW w:w="88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8"/>
        <w:gridCol w:w="1264"/>
        <w:gridCol w:w="1647"/>
        <w:gridCol w:w="1710"/>
        <w:gridCol w:w="2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股东性质</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户数</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（万股）</w:t>
            </w:r>
          </w:p>
        </w:tc>
        <w:tc>
          <w:tcPr>
            <w:tcW w:w="1710"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比例</w:t>
            </w:r>
          </w:p>
        </w:tc>
        <w:tc>
          <w:tcPr>
            <w:tcW w:w="247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当年股权变更情况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20000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100</w:t>
            </w:r>
            <w:r>
              <w:rPr>
                <w:rFonts w:hint="default" w:ascii="Times New Roman" w:hAnsi="Times New Roman" w:eastAsia="方正仿宋_GBK" w:cs="Times New Roman"/>
                <w:color w:val="auto"/>
                <w:kern w:val="0"/>
                <w:sz w:val="24"/>
                <w:szCs w:val="24"/>
              </w:rPr>
              <w:t>%</w:t>
            </w:r>
          </w:p>
        </w:tc>
        <w:tc>
          <w:tcPr>
            <w:tcW w:w="2471"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合计</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0000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100%</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rPr>
            </w:pP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股权结构情况表二</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三、股东所持本公司股份的质押或其他争议情况</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小标宋_GBK" w:cs="Times New Roman"/>
          <w:bCs/>
          <w:color w:val="auto"/>
          <w:kern w:val="0"/>
          <w:sz w:val="32"/>
          <w:szCs w:val="32"/>
        </w:rPr>
      </w:pPr>
      <w:r>
        <w:rPr>
          <w:rFonts w:hint="default" w:ascii="Times New Roman" w:hAnsi="Times New Roman" w:eastAsia="方正仿宋_GBK" w:cs="Times New Roman"/>
          <w:color w:val="auto"/>
          <w:kern w:val="0"/>
          <w:sz w:val="32"/>
          <w:szCs w:val="32"/>
        </w:rPr>
        <w:t>报告期内，不存在股东所持本公司股份用于质押或其他争议情况。</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第四节  董（监）事、高级管理人员和员工情况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b/>
          <w:color w:val="auto"/>
          <w:kern w:val="0"/>
          <w:sz w:val="32"/>
          <w:szCs w:val="32"/>
        </w:rPr>
      </w:pPr>
      <w:r>
        <w:rPr>
          <w:rFonts w:hint="default" w:ascii="Times New Roman" w:hAnsi="Times New Roman" w:eastAsia="方正黑体_GBK" w:cs="Times New Roman"/>
          <w:bCs/>
          <w:color w:val="auto"/>
          <w:kern w:val="0"/>
          <w:sz w:val="32"/>
          <w:szCs w:val="32"/>
        </w:rPr>
        <w:t>一、执行董事基本情况</w:t>
      </w:r>
      <w:r>
        <w:rPr>
          <w:rFonts w:hint="default" w:ascii="Times New Roman" w:hAnsi="Times New Roman" w:eastAsia="方正仿宋_GBK" w:cs="Times New Roman"/>
          <w:b/>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（一）本行不设董事会，设执行董事1名，是股东会的执行机构和本行的经营决策机构，对股东会负责，由主发起行重庆农村商业银行选派，股东会选举产生。执行董事基本情况如下：</w:t>
      </w:r>
    </w:p>
    <w:tbl>
      <w:tblPr>
        <w:tblStyle w:val="10"/>
        <w:tblW w:w="82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7"/>
        <w:gridCol w:w="993"/>
        <w:gridCol w:w="1134"/>
        <w:gridCol w:w="1701"/>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5" w:hRule="atLeast"/>
          <w:jc w:val="center"/>
        </w:trPr>
        <w:tc>
          <w:tcPr>
            <w:tcW w:w="1380"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1417"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993"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w:t>
            </w:r>
          </w:p>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1134"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1701"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605"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380"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王瑜</w:t>
            </w:r>
          </w:p>
        </w:tc>
        <w:tc>
          <w:tcPr>
            <w:tcW w:w="1417"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执行董事</w:t>
            </w:r>
          </w:p>
        </w:tc>
        <w:tc>
          <w:tcPr>
            <w:tcW w:w="993"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无</w:t>
            </w:r>
          </w:p>
        </w:tc>
        <w:tc>
          <w:tcPr>
            <w:tcW w:w="1134"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研究生</w:t>
            </w:r>
          </w:p>
        </w:tc>
        <w:tc>
          <w:tcPr>
            <w:tcW w:w="1701"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软件工程师</w:t>
            </w:r>
          </w:p>
        </w:tc>
        <w:tc>
          <w:tcPr>
            <w:tcW w:w="1605" w:type="dxa"/>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cs="Times New Roman"/>
                <w:b w:val="0"/>
                <w:bCs w:val="0"/>
                <w:sz w:val="16"/>
                <w:szCs w:val="16"/>
              </w:rPr>
              <w:t>19</w:t>
            </w:r>
            <w:r>
              <w:rPr>
                <w:rFonts w:hint="default" w:ascii="Times New Roman" w:hAnsi="Times New Roman" w:cs="Times New Roman"/>
                <w:b w:val="0"/>
                <w:bCs w:val="0"/>
                <w:sz w:val="16"/>
                <w:szCs w:val="16"/>
                <w:lang w:val="en-US" w:eastAsia="zh-CN"/>
              </w:rPr>
              <w:t>83</w:t>
            </w:r>
            <w:r>
              <w:rPr>
                <w:rFonts w:hint="default" w:ascii="Times New Roman" w:hAnsi="Times New Roman" w:cs="Times New Roman"/>
                <w:b w:val="0"/>
                <w:bCs w:val="0"/>
                <w:sz w:val="16"/>
                <w:szCs w:val="16"/>
              </w:rPr>
              <w:t>年1</w:t>
            </w:r>
            <w:r>
              <w:rPr>
                <w:rFonts w:hint="default" w:ascii="Times New Roman" w:hAnsi="Times New Roman" w:cs="Times New Roman"/>
                <w:b w:val="0"/>
                <w:bCs w:val="0"/>
                <w:sz w:val="16"/>
                <w:szCs w:val="16"/>
                <w:lang w:val="en-US" w:eastAsia="zh-CN"/>
              </w:rPr>
              <w:t>2</w:t>
            </w:r>
            <w:r>
              <w:rPr>
                <w:rFonts w:hint="default" w:ascii="Times New Roman" w:hAnsi="Times New Roman" w:cs="Times New Roman"/>
                <w:b w:val="0"/>
                <w:bCs w:val="0"/>
                <w:sz w:val="16"/>
                <w:szCs w:val="16"/>
              </w:rPr>
              <w:t>月</w:t>
            </w:r>
          </w:p>
        </w:tc>
      </w:tr>
    </w:tbl>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本年度执行董事变动情况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无变动。</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二、监事会基本情况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本行2018年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月成立监事会，监事会成员共3名，监事长1名，由股东</w:t>
      </w:r>
      <w:r>
        <w:rPr>
          <w:rFonts w:hint="default" w:ascii="Times New Roman" w:hAnsi="Times New Roman" w:eastAsia="方正仿宋_GBK" w:cs="Times New Roman"/>
          <w:color w:val="auto"/>
          <w:kern w:val="0"/>
          <w:sz w:val="32"/>
          <w:szCs w:val="32"/>
          <w:highlight w:val="none"/>
          <w:lang w:eastAsia="zh-CN"/>
        </w:rPr>
        <w:t>会选举代表</w:t>
      </w:r>
      <w:r>
        <w:rPr>
          <w:rFonts w:hint="default" w:ascii="Times New Roman" w:hAnsi="Times New Roman" w:eastAsia="方正仿宋_GBK" w:cs="Times New Roman"/>
          <w:color w:val="auto"/>
          <w:kern w:val="0"/>
          <w:sz w:val="32"/>
          <w:szCs w:val="32"/>
          <w:highlight w:val="none"/>
          <w:lang w:val="en-US" w:eastAsia="zh-CN"/>
        </w:rPr>
        <w:t>张鹏</w:t>
      </w:r>
      <w:r>
        <w:rPr>
          <w:rFonts w:hint="default" w:ascii="Times New Roman" w:hAnsi="Times New Roman" w:eastAsia="方正仿宋_GBK" w:cs="Times New Roman"/>
          <w:color w:val="auto"/>
          <w:kern w:val="0"/>
          <w:sz w:val="32"/>
          <w:szCs w:val="32"/>
          <w:highlight w:val="none"/>
        </w:rPr>
        <w:t>担任；</w:t>
      </w:r>
      <w:r>
        <w:rPr>
          <w:rFonts w:hint="default" w:ascii="Times New Roman" w:hAnsi="Times New Roman" w:eastAsia="方正仿宋_GBK" w:cs="Times New Roman"/>
          <w:color w:val="auto"/>
          <w:kern w:val="0"/>
          <w:sz w:val="32"/>
          <w:szCs w:val="32"/>
          <w:highlight w:val="none"/>
          <w:lang w:eastAsia="zh-CN"/>
        </w:rPr>
        <w:t>股东</w:t>
      </w:r>
      <w:r>
        <w:rPr>
          <w:rFonts w:hint="default" w:ascii="Times New Roman" w:hAnsi="Times New Roman" w:eastAsia="方正仿宋_GBK" w:cs="Times New Roman"/>
          <w:color w:val="auto"/>
          <w:kern w:val="0"/>
          <w:sz w:val="32"/>
          <w:szCs w:val="32"/>
          <w:highlight w:val="none"/>
        </w:rPr>
        <w:t>监事</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名，</w:t>
      </w:r>
      <w:r>
        <w:rPr>
          <w:rFonts w:hint="default" w:ascii="Times New Roman" w:hAnsi="Times New Roman" w:eastAsia="方正仿宋_GBK" w:cs="Times New Roman"/>
          <w:color w:val="auto"/>
          <w:kern w:val="0"/>
          <w:sz w:val="32"/>
          <w:szCs w:val="32"/>
          <w:highlight w:val="none"/>
          <w:lang w:eastAsia="zh-CN"/>
        </w:rPr>
        <w:t>由谢芳池、</w:t>
      </w:r>
      <w:r>
        <w:rPr>
          <w:rFonts w:hint="default" w:ascii="Times New Roman" w:hAnsi="Times New Roman" w:eastAsia="方正仿宋_GBK" w:cs="Times New Roman"/>
          <w:color w:val="auto"/>
          <w:kern w:val="0"/>
          <w:sz w:val="32"/>
          <w:szCs w:val="32"/>
          <w:highlight w:val="none"/>
          <w:lang w:val="en-US" w:eastAsia="zh-CN"/>
        </w:rPr>
        <w:t>林志勇担任</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该2名股东监事于2024年11月辞去股东监事职位。</w:t>
      </w:r>
      <w:r>
        <w:rPr>
          <w:rFonts w:hint="default" w:ascii="Times New Roman" w:hAnsi="Times New Roman" w:eastAsia="方正仿宋_GBK" w:cs="Times New Roman"/>
          <w:color w:val="auto"/>
          <w:kern w:val="0"/>
          <w:sz w:val="32"/>
          <w:szCs w:val="32"/>
          <w:highlight w:val="none"/>
        </w:rPr>
        <w:t>监事会基本情况如下：</w:t>
      </w:r>
    </w:p>
    <w:tbl>
      <w:tblPr>
        <w:tblStyle w:val="10"/>
        <w:tblW w:w="89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957"/>
        <w:gridCol w:w="2658"/>
        <w:gridCol w:w="843"/>
        <w:gridCol w:w="976"/>
        <w:gridCol w:w="2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12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9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65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社会职务</w:t>
            </w:r>
          </w:p>
        </w:tc>
        <w:tc>
          <w:tcPr>
            <w:tcW w:w="8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228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张鹏</w:t>
            </w:r>
          </w:p>
        </w:tc>
        <w:tc>
          <w:tcPr>
            <w:tcW w:w="95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监事长</w:t>
            </w:r>
          </w:p>
        </w:tc>
        <w:tc>
          <w:tcPr>
            <w:tcW w:w="265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p>
        </w:tc>
        <w:tc>
          <w:tcPr>
            <w:tcW w:w="8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大学</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无</w:t>
            </w:r>
          </w:p>
        </w:tc>
        <w:tc>
          <w:tcPr>
            <w:tcW w:w="228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1987</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sz w:val="24"/>
                <w:szCs w:val="24"/>
                <w:highlight w:val="none"/>
              </w:rPr>
              <w:t>月</w:t>
            </w:r>
          </w:p>
        </w:tc>
      </w:tr>
    </w:tbl>
    <w:p>
      <w:pPr>
        <w:keepNext w:val="0"/>
        <w:keepLines w:val="0"/>
        <w:pageBreakBefore w:val="0"/>
        <w:widowControl/>
        <w:numPr>
          <w:ilvl w:val="0"/>
          <w:numId w:val="2"/>
        </w:numPr>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高级管理人员基本情况</w:t>
      </w:r>
    </w:p>
    <w:tbl>
      <w:tblPr>
        <w:tblStyle w:val="10"/>
        <w:tblW w:w="885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1444"/>
        <w:gridCol w:w="2321"/>
        <w:gridCol w:w="941"/>
        <w:gridCol w:w="1538"/>
        <w:gridCol w:w="15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10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（性别）</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32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学历/学位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（院校名称）</w:t>
            </w:r>
          </w:p>
        </w:tc>
        <w:tc>
          <w:tcPr>
            <w:tcW w:w="9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5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r>
              <w:rPr>
                <w:rFonts w:hint="default" w:ascii="Times New Roman" w:hAnsi="Times New Roman" w:eastAsia="方正仿宋_GBK" w:cs="Times New Roman"/>
                <w:b/>
                <w:color w:val="auto"/>
                <w:kern w:val="0"/>
                <w:sz w:val="24"/>
                <w:szCs w:val="24"/>
                <w:highlight w:val="none"/>
              </w:rPr>
              <w:br w:type="textWrapping"/>
            </w:r>
            <w:r>
              <w:rPr>
                <w:rFonts w:hint="default" w:ascii="Times New Roman" w:hAnsi="Times New Roman" w:eastAsia="方正仿宋_GBK" w:cs="Times New Roman"/>
                <w:b/>
                <w:color w:val="auto"/>
                <w:kern w:val="0"/>
                <w:sz w:val="24"/>
                <w:szCs w:val="24"/>
                <w:highlight w:val="none"/>
              </w:rPr>
              <w:t>（年/月）</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任职时间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王瑜</w:t>
            </w:r>
            <w:r>
              <w:rPr>
                <w:rFonts w:hint="default" w:ascii="Times New Roman" w:hAnsi="Times New Roman" w:eastAsia="方正仿宋_GBK" w:cs="Times New Roman"/>
                <w:color w:val="auto"/>
                <w:kern w:val="0"/>
                <w:sz w:val="24"/>
                <w:szCs w:val="24"/>
                <w:highlight w:val="none"/>
              </w:rPr>
              <w:t>(男)</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行长</w:t>
            </w:r>
          </w:p>
        </w:tc>
        <w:tc>
          <w:tcPr>
            <w:tcW w:w="232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仿宋_GB2312" w:cs="Times New Roman"/>
                <w:sz w:val="24"/>
                <w:szCs w:val="24"/>
                <w:highlight w:val="none"/>
              </w:rPr>
              <w:t>重庆大学</w:t>
            </w:r>
            <w:r>
              <w:rPr>
                <w:rFonts w:hint="default" w:ascii="Times New Roman" w:hAnsi="Times New Roman" w:eastAsia="方正仿宋_GBK" w:cs="Times New Roman"/>
                <w:color w:val="auto"/>
                <w:kern w:val="0"/>
                <w:sz w:val="24"/>
                <w:szCs w:val="24"/>
                <w:highlight w:val="none"/>
                <w:lang w:eastAsia="zh-CN"/>
              </w:rPr>
              <w:t>）</w:t>
            </w:r>
          </w:p>
        </w:tc>
        <w:tc>
          <w:tcPr>
            <w:tcW w:w="9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仿宋_GB2312" w:cs="Times New Roman"/>
                <w:sz w:val="24"/>
                <w:szCs w:val="24"/>
                <w:highlight w:val="none"/>
              </w:rPr>
              <w:t>软件设计师</w:t>
            </w:r>
          </w:p>
        </w:tc>
        <w:tc>
          <w:tcPr>
            <w:tcW w:w="15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rPr>
              <w:t>198</w:t>
            </w:r>
            <w:r>
              <w:rPr>
                <w:rFonts w:hint="default" w:ascii="Times New Roman" w:hAnsi="Times New Roman" w:eastAsia="仿宋_GB2312" w:cs="Times New Roman"/>
                <w:sz w:val="24"/>
                <w:szCs w:val="24"/>
                <w:highlight w:val="none"/>
                <w:lang w:val="en-US" w:eastAsia="zh-CN"/>
              </w:rPr>
              <w:t>3年</w:t>
            </w:r>
            <w:r>
              <w:rPr>
                <w:rFonts w:hint="default" w:ascii="Times New Roman" w:hAnsi="Times New Roman" w:eastAsia="仿宋_GB2312" w:cs="Times New Roman"/>
                <w:sz w:val="24"/>
                <w:szCs w:val="24"/>
                <w:highlight w:val="none"/>
              </w:rPr>
              <w:t>12</w:t>
            </w:r>
            <w:r>
              <w:rPr>
                <w:rFonts w:hint="default" w:ascii="Times New Roman" w:hAnsi="Times New Roman" w:eastAsia="仿宋_GB2312" w:cs="Times New Roman"/>
                <w:sz w:val="24"/>
                <w:szCs w:val="24"/>
                <w:highlight w:val="none"/>
                <w:lang w:eastAsia="zh-CN"/>
              </w:rPr>
              <w:t>月</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2018年</w:t>
            </w:r>
            <w:r>
              <w:rPr>
                <w:rFonts w:hint="default" w:ascii="Times New Roman" w:hAnsi="Times New Roman"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王剑英</w:t>
            </w:r>
            <w:r>
              <w:rPr>
                <w:rFonts w:hint="default" w:ascii="Times New Roman" w:hAnsi="Times New Roman" w:eastAsia="方正仿宋_GBK" w:cs="Times New Roman"/>
                <w:color w:val="auto"/>
                <w:kern w:val="0"/>
                <w:sz w:val="24"/>
                <w:szCs w:val="24"/>
                <w:highlight w:val="none"/>
              </w:rPr>
              <w:t>（男）</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副行长</w:t>
            </w:r>
          </w:p>
        </w:tc>
        <w:tc>
          <w:tcPr>
            <w:tcW w:w="232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大学</w:t>
            </w:r>
            <w:r>
              <w:rPr>
                <w:rFonts w:hint="default" w:ascii="Times New Roman" w:hAnsi="Times New Roman" w:eastAsia="方正仿宋_GBK" w:cs="Times New Roman"/>
                <w:color w:val="auto"/>
                <w:kern w:val="0"/>
                <w:sz w:val="24"/>
                <w:szCs w:val="24"/>
                <w:highlight w:val="none"/>
              </w:rPr>
              <w:t>本科</w:t>
            </w:r>
            <w:r>
              <w:rPr>
                <w:rFonts w:hint="default" w:ascii="Times New Roman" w:hAnsi="Times New Roman" w:eastAsia="方正仿宋_GBK" w:cs="Times New Roman"/>
                <w:color w:val="auto"/>
                <w:kern w:val="0"/>
                <w:sz w:val="24"/>
                <w:szCs w:val="24"/>
                <w:highlight w:val="none"/>
                <w:lang w:val="en-US" w:eastAsia="zh-CN"/>
              </w:rPr>
              <w:t>/学士学位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福建农林大</w:t>
            </w:r>
            <w:r>
              <w:rPr>
                <w:rFonts w:hint="default" w:ascii="Times New Roman" w:hAnsi="Times New Roman" w:eastAsia="仿宋_GB2312" w:cs="Times New Roman"/>
                <w:sz w:val="24"/>
                <w:szCs w:val="24"/>
                <w:highlight w:val="none"/>
              </w:rPr>
              <w:t>学</w:t>
            </w:r>
            <w:r>
              <w:rPr>
                <w:rFonts w:hint="default" w:ascii="Times New Roman" w:hAnsi="Times New Roman" w:eastAsia="仿宋_GB2312" w:cs="Times New Roman"/>
                <w:sz w:val="24"/>
                <w:szCs w:val="24"/>
                <w:highlight w:val="none"/>
                <w:lang w:eastAsia="zh-CN"/>
              </w:rPr>
              <w:t>）</w:t>
            </w:r>
          </w:p>
        </w:tc>
        <w:tc>
          <w:tcPr>
            <w:tcW w:w="9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经济师</w:t>
            </w:r>
          </w:p>
        </w:tc>
        <w:tc>
          <w:tcPr>
            <w:tcW w:w="15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1984年8月</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2015年9月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张振（男）</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副行长兼风险管理部经理</w:t>
            </w:r>
          </w:p>
        </w:tc>
        <w:tc>
          <w:tcPr>
            <w:tcW w:w="232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重庆工学院）</w:t>
            </w:r>
          </w:p>
        </w:tc>
        <w:tc>
          <w:tcPr>
            <w:tcW w:w="9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助理会计师</w:t>
            </w:r>
          </w:p>
        </w:tc>
        <w:tc>
          <w:tcPr>
            <w:tcW w:w="15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1980年8月</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2018年1月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吴育彬（女）</w:t>
            </w:r>
          </w:p>
        </w:tc>
        <w:tc>
          <w:tcPr>
            <w:tcW w:w="144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营运管理部经理</w:t>
            </w:r>
          </w:p>
        </w:tc>
        <w:tc>
          <w:tcPr>
            <w:tcW w:w="232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福建师范大学协和学院）</w:t>
            </w:r>
          </w:p>
        </w:tc>
        <w:tc>
          <w:tcPr>
            <w:tcW w:w="94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初级会计师、中级经济师</w:t>
            </w:r>
          </w:p>
        </w:tc>
        <w:tc>
          <w:tcPr>
            <w:tcW w:w="153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1986年6月</w:t>
            </w:r>
          </w:p>
        </w:tc>
        <w:tc>
          <w:tcPr>
            <w:tcW w:w="15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2021年6月</w:t>
            </w:r>
          </w:p>
        </w:tc>
      </w:tr>
    </w:tbl>
    <w:p>
      <w:pPr>
        <w:keepNext w:val="0"/>
        <w:keepLines w:val="0"/>
        <w:pageBreakBefore w:val="0"/>
        <w:widowControl/>
        <w:numPr>
          <w:ilvl w:val="0"/>
          <w:numId w:val="2"/>
        </w:numPr>
        <w:kinsoku/>
        <w:wordWrap/>
        <w:overflowPunct/>
        <w:topLinePunct w:val="0"/>
        <w:autoSpaceDE/>
        <w:autoSpaceDN/>
        <w:bidi w:val="0"/>
        <w:spacing w:line="580" w:lineRule="exact"/>
        <w:ind w:left="0" w:leftChars="0"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员工情况</w:t>
      </w:r>
    </w:p>
    <w:tbl>
      <w:tblPr>
        <w:tblStyle w:val="10"/>
        <w:tblpPr w:leftFromText="180" w:rightFromText="180" w:vertAnchor="text" w:horzAnchor="page" w:tblpX="1560" w:tblpY="581"/>
        <w:tblOverlap w:val="never"/>
        <w:tblW w:w="88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0"/>
        <w:gridCol w:w="2340"/>
        <w:gridCol w:w="30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专业类别</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员工人数</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bookmarkStart w:id="1" w:name="OLE_LINK1" w:colFirst="1" w:colLast="1"/>
            <w:r>
              <w:rPr>
                <w:rFonts w:hint="default" w:ascii="Times New Roman" w:hAnsi="Times New Roman" w:eastAsia="方正仿宋_GBK" w:cs="Times New Roman"/>
                <w:color w:val="auto"/>
                <w:kern w:val="0"/>
                <w:sz w:val="24"/>
                <w:szCs w:val="24"/>
                <w:highlight w:val="none"/>
              </w:rPr>
              <w:t>经营管理层</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24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7</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41.18%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业务发展部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12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11.76%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风险管理部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17.65%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综</w:t>
            </w:r>
            <w:r>
              <w:rPr>
                <w:rFonts w:hint="default" w:ascii="Times New Roman" w:hAnsi="Times New Roman" w:eastAsia="方正仿宋_GBK" w:cs="Times New Roman"/>
                <w:color w:val="auto"/>
                <w:kern w:val="0"/>
                <w:sz w:val="24"/>
                <w:szCs w:val="24"/>
                <w:highlight w:val="none"/>
                <w:lang w:eastAsia="zh-CN"/>
              </w:rPr>
              <w:t>合管理</w:t>
            </w:r>
            <w:r>
              <w:rPr>
                <w:rFonts w:hint="default" w:ascii="Times New Roman" w:hAnsi="Times New Roman" w:eastAsia="方正仿宋_GBK" w:cs="Times New Roman"/>
                <w:color w:val="auto"/>
                <w:kern w:val="0"/>
                <w:sz w:val="24"/>
                <w:szCs w:val="24"/>
                <w:highlight w:val="none"/>
              </w:rPr>
              <w:t>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36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营运管理部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1</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5.88%</w:t>
            </w:r>
          </w:p>
        </w:tc>
      </w:tr>
      <w:bookmarkEnd w:id="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rightChars="0"/>
              <w:jc w:val="center"/>
              <w:textAlignment w:val="auto"/>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color w:val="auto"/>
                <w:kern w:val="0"/>
                <w:sz w:val="24"/>
                <w:szCs w:val="24"/>
                <w:highlight w:val="none"/>
                <w:lang w:val="en-US" w:eastAsia="zh-CN"/>
              </w:rPr>
              <w:t>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right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17.65%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合计</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rightChars="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17</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80" w:right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100%</w:t>
            </w:r>
          </w:p>
        </w:tc>
      </w:tr>
    </w:tbl>
    <w:p>
      <w:pPr>
        <w:keepNext w:val="0"/>
        <w:keepLines w:val="0"/>
        <w:pageBreakBefore w:val="0"/>
        <w:widowControl/>
        <w:kinsoku/>
        <w:wordWrap/>
        <w:overflowPunct/>
        <w:topLinePunct w:val="0"/>
        <w:autoSpaceDE/>
        <w:autoSpaceDN/>
        <w:bidi w:val="0"/>
        <w:spacing w:line="580" w:lineRule="exact"/>
        <w:ind w:firstLine="643"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b/>
          <w:bCs/>
          <w:color w:val="auto"/>
          <w:kern w:val="0"/>
          <w:sz w:val="32"/>
          <w:szCs w:val="32"/>
        </w:rPr>
        <w:t>（一）员工专业结构情况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其中：</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1.经营管理层包括在本行任职的执行董事、行长、副行长、部门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经理</w:t>
      </w:r>
      <w:r>
        <w:rPr>
          <w:rFonts w:hint="default" w:ascii="Times New Roman" w:hAnsi="Times New Roman" w:eastAsia="方正仿宋_GBK" w:cs="Times New Roman"/>
          <w:color w:val="auto"/>
          <w:kern w:val="0"/>
          <w:sz w:val="32"/>
          <w:szCs w:val="32"/>
          <w:lang w:eastAsia="zh-CN"/>
        </w:rPr>
        <w:t>、营业机构（副）主任</w:t>
      </w:r>
      <w:r>
        <w:rPr>
          <w:rFonts w:hint="default" w:ascii="Times New Roman" w:hAnsi="Times New Roman" w:eastAsia="方正仿宋_GBK" w:cs="Times New Roman"/>
          <w:color w:val="auto"/>
          <w:kern w:val="0"/>
          <w:sz w:val="32"/>
          <w:szCs w:val="32"/>
        </w:rPr>
        <w:t>及以上行政职务人员；</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2.其他条线部门包括本条线相关人员。</w:t>
      </w:r>
    </w:p>
    <w:p>
      <w:pPr>
        <w:keepNext w:val="0"/>
        <w:keepLines w:val="0"/>
        <w:pageBreakBefore w:val="0"/>
        <w:widowControl/>
        <w:kinsoku/>
        <w:wordWrap/>
        <w:overflowPunct/>
        <w:topLinePunct w:val="0"/>
        <w:autoSpaceDE/>
        <w:autoSpaceDN/>
        <w:bidi w:val="0"/>
        <w:spacing w:line="580" w:lineRule="exact"/>
        <w:ind w:firstLine="643"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b/>
          <w:bCs/>
          <w:color w:val="auto"/>
          <w:kern w:val="0"/>
          <w:sz w:val="32"/>
          <w:szCs w:val="32"/>
        </w:rPr>
        <w:t>（二）员工受教育程度</w:t>
      </w:r>
    </w:p>
    <w:tbl>
      <w:tblPr>
        <w:tblStyle w:val="10"/>
        <w:tblpPr w:leftFromText="180" w:rightFromText="180" w:vertAnchor="text" w:horzAnchor="page" w:tblpX="1576" w:tblpY="606"/>
        <w:tblOverlap w:val="never"/>
        <w:tblW w:w="882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60"/>
        <w:gridCol w:w="1980"/>
        <w:gridCol w:w="28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学历类别</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员工人数</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本科及本科以上</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tabs>
                <w:tab w:val="left" w:pos="569"/>
                <w:tab w:val="center" w:pos="863"/>
              </w:tabs>
              <w:kinsoku/>
              <w:wordWrap/>
              <w:overflowPunct/>
              <w:topLinePunct w:val="0"/>
              <w:autoSpaceDE/>
              <w:autoSpaceDN/>
              <w:bidi w:val="0"/>
              <w:adjustRightInd/>
              <w:snapToGrid/>
              <w:spacing w:before="0" w:beforeAutospacing="0" w:after="0" w:afterAutospacing="0" w:line="500" w:lineRule="exact"/>
              <w:ind w:left="0"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15</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12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88.24%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大专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11.76%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jc w:val="both"/>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高中及其他</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jc w:val="both"/>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合计</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600"/>
              <w:jc w:val="center"/>
              <w:textAlignment w:val="auto"/>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color w:val="auto"/>
                <w:kern w:val="0"/>
                <w:sz w:val="24"/>
                <w:szCs w:val="24"/>
                <w:highlight w:val="none"/>
                <w:lang w:val="en-US" w:eastAsia="zh-CN"/>
              </w:rPr>
              <w:t>17</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24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100%</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yellow"/>
        </w:rPr>
      </w:pPr>
      <w:r>
        <w:rPr>
          <w:rFonts w:hint="default" w:ascii="Times New Roman" w:hAnsi="Times New Roman" w:eastAsia="方正小标宋_GBK" w:cs="Times New Roman"/>
          <w:bCs/>
          <w:color w:val="auto"/>
          <w:kern w:val="0"/>
          <w:sz w:val="32"/>
          <w:szCs w:val="32"/>
          <w:highlight w:val="none"/>
        </w:rPr>
        <w:t>第五节  部门设置情况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一、部门设置</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本行设置业务发展部、风险管理部、综合部、运营管理部和营业部五个部门。</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二、各部门职能</w:t>
      </w:r>
    </w:p>
    <w:tbl>
      <w:tblPr>
        <w:tblStyle w:val="10"/>
        <w:tblW w:w="849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部门名称</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营运管理</w:t>
            </w:r>
            <w:r>
              <w:rPr>
                <w:rFonts w:hint="default" w:ascii="Times New Roman" w:hAnsi="Times New Roman" w:eastAsia="方正仿宋_GBK" w:cs="Times New Roman"/>
                <w:color w:val="auto"/>
                <w:kern w:val="0"/>
                <w:sz w:val="24"/>
                <w:szCs w:val="24"/>
                <w:highlight w:val="none"/>
              </w:rPr>
              <w:t>部</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w:t>
            </w:r>
            <w:r>
              <w:rPr>
                <w:rFonts w:hint="default" w:ascii="Times New Roman" w:hAnsi="Times New Roman" w:eastAsia="方正仿宋_GBK" w:cs="Times New Roman"/>
                <w:color w:val="auto"/>
                <w:kern w:val="0"/>
                <w:sz w:val="24"/>
                <w:szCs w:val="24"/>
                <w:highlight w:val="none"/>
                <w:lang w:eastAsia="zh-CN"/>
              </w:rPr>
              <w:t>公司治理、</w:t>
            </w:r>
            <w:r>
              <w:rPr>
                <w:rFonts w:hint="default" w:ascii="Times New Roman" w:hAnsi="Times New Roman" w:eastAsia="方正仿宋_GBK" w:cs="Times New Roman"/>
                <w:color w:val="auto"/>
                <w:kern w:val="0"/>
                <w:sz w:val="24"/>
                <w:szCs w:val="24"/>
                <w:highlight w:val="none"/>
              </w:rPr>
              <w:t>会计结算管理、现金管理、资产负债管理、财务管理、</w:t>
            </w:r>
            <w:r>
              <w:rPr>
                <w:rFonts w:hint="default" w:ascii="Times New Roman" w:hAnsi="Times New Roman" w:eastAsia="方正仿宋_GBK" w:cs="Times New Roman"/>
                <w:color w:val="auto"/>
                <w:kern w:val="0"/>
                <w:sz w:val="24"/>
                <w:szCs w:val="24"/>
                <w:highlight w:val="none"/>
                <w:lang w:eastAsia="zh-CN"/>
              </w:rPr>
              <w:t>运行管理及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r>
              <w:rPr>
                <w:rFonts w:hint="default" w:ascii="Times New Roman" w:hAnsi="Times New Roman" w:eastAsia="方正仿宋_GBK" w:cs="Times New Roman"/>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综合管理部</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制度建设、综合管理、人力资源管理、薪酬管理、渠道管理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党群建设、计划考核管理</w:t>
            </w:r>
            <w:r>
              <w:rPr>
                <w:rFonts w:hint="default" w:ascii="Times New Roman" w:hAnsi="Times New Roman" w:eastAsia="方正仿宋_GBK" w:cs="Times New Roman"/>
                <w:color w:val="auto"/>
                <w:kern w:val="0"/>
                <w:sz w:val="24"/>
                <w:szCs w:val="24"/>
                <w:highlight w:val="none"/>
                <w:lang w:eastAsia="zh-CN"/>
              </w:rPr>
              <w:t>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风险管理部</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制度建设、授信审查、出账审查、信贷管理、不良信贷资产管理、风险管理、合规管理、审计稽核、安全保卫、纪检监察、征信管理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押品管理、消费者权益保护、案防管理、关联交易及其他</w:t>
            </w:r>
            <w:r>
              <w:rPr>
                <w:rFonts w:hint="default" w:ascii="Times New Roman" w:hAnsi="Times New Roman" w:eastAsia="方正仿宋_GBK" w:cs="Times New Roman"/>
                <w:color w:val="auto"/>
                <w:kern w:val="0"/>
                <w:sz w:val="24"/>
                <w:szCs w:val="24"/>
                <w:highlight w:val="none"/>
              </w:rPr>
              <w:t>等十</w:t>
            </w:r>
            <w:r>
              <w:rPr>
                <w:rFonts w:hint="default" w:ascii="Times New Roman" w:hAnsi="Times New Roman"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业务发展部</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目标客户、制度建设、条线考核、优质文明服务、营销管理、授信管理、团队管理、统计报送、征信</w:t>
            </w:r>
            <w:r>
              <w:rPr>
                <w:rFonts w:hint="default" w:ascii="Times New Roman" w:hAnsi="Times New Roman" w:eastAsia="方正仿宋_GBK" w:cs="Times New Roman"/>
                <w:color w:val="auto"/>
                <w:kern w:val="0"/>
                <w:sz w:val="24"/>
                <w:szCs w:val="24"/>
                <w:highlight w:val="none"/>
                <w:lang w:eastAsia="zh-CN"/>
              </w:rPr>
              <w:t>查询</w:t>
            </w:r>
            <w:r>
              <w:rPr>
                <w:rFonts w:hint="default" w:ascii="Times New Roman" w:hAnsi="Times New Roman" w:eastAsia="方正仿宋_GBK" w:cs="Times New Roman"/>
                <w:color w:val="auto"/>
                <w:kern w:val="0"/>
                <w:sz w:val="24"/>
                <w:szCs w:val="24"/>
                <w:highlight w:val="none"/>
              </w:rPr>
              <w:t>、其他等十大职责。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3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营业部</w:t>
            </w:r>
          </w:p>
        </w:tc>
        <w:tc>
          <w:tcPr>
            <w:tcW w:w="6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目标客户、制度建设、业务营销及管理、内部规范管理、其它等五大职责。</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第六节</w:t>
      </w:r>
      <w:r>
        <w:rPr>
          <w:rFonts w:hint="default" w:ascii="Times New Roman" w:hAnsi="Times New Roman" w:eastAsia="方正小标宋_GBK" w:cs="Times New Roman"/>
          <w:bCs/>
          <w:color w:val="auto"/>
          <w:kern w:val="0"/>
          <w:sz w:val="32"/>
          <w:szCs w:val="32"/>
          <w:lang w:val="en-US" w:eastAsia="zh-CN"/>
        </w:rPr>
        <w:t xml:space="preserve"> </w:t>
      </w:r>
      <w:r>
        <w:rPr>
          <w:rFonts w:hint="default" w:ascii="Times New Roman" w:hAnsi="Times New Roman" w:eastAsia="方正小标宋_GBK" w:cs="Times New Roman"/>
          <w:bCs/>
          <w:color w:val="auto"/>
          <w:kern w:val="0"/>
          <w:sz w:val="32"/>
          <w:szCs w:val="32"/>
        </w:rPr>
        <w:t>公司治理情况</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一、公司组织机构</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设立了股东会、执行董事、监事会并制定了相应的议事规则和工作规程。报告期内，本公司严格按照《中华人民共和国公司法》（以下简称《公司法》、《中华人民共和国商业银行法》（以下简称《商业银行法》）等相关法律法规，结合本公司实际情况，不断完善治理结构，提高信息透明度，保护存款人利益，为股东创造价值，勇于承担社会责任。</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二、股东会、执行董事和监事会职能</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本公司股东会、执行董事、监事会均能按照有关法律、法规和公司章程的规定及议事规则、工作规程独立有效运作。</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股东会</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32"/>
          <w:szCs w:val="32"/>
        </w:rPr>
        <w:t>本公司股东会的职能和权力包括但不限于以下几个方面：</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决定本行的经营方针和投资计划；</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选举和罢免执行董事、监事，决定其报酬事项；</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审议批准执行董事报告；</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审议批准监事会报告；</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审议批准本行的年度财务预算方案、决算方案；</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审议批准本行的利润分配方案和亏损弥补方案；</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7.</w:t>
      </w:r>
      <w:r>
        <w:rPr>
          <w:rFonts w:hint="default" w:ascii="Times New Roman" w:hAnsi="Times New Roman" w:eastAsia="方正仿宋_GBK" w:cs="Times New Roman"/>
          <w:color w:val="auto"/>
          <w:sz w:val="32"/>
          <w:szCs w:val="32"/>
          <w:highlight w:val="none"/>
          <w:u w:val="none"/>
        </w:rPr>
        <w:t>对本行增加或者减少注册资本做出决议；</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rPr>
        <w:t>对本行投资及并购出资做出决议；</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9.</w:t>
      </w:r>
      <w:r>
        <w:rPr>
          <w:rFonts w:hint="default" w:ascii="Times New Roman" w:hAnsi="Times New Roman" w:eastAsia="方正仿宋_GBK" w:cs="Times New Roman"/>
          <w:color w:val="auto"/>
          <w:sz w:val="32"/>
          <w:szCs w:val="32"/>
          <w:highlight w:val="none"/>
          <w:u w:val="none"/>
        </w:rPr>
        <w:t>审议批准本行重大股权投资事项；</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rPr>
        <w:t>对发行本行债券做出决议；</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11.</w:t>
      </w:r>
      <w:r>
        <w:rPr>
          <w:rFonts w:hint="default" w:ascii="Times New Roman" w:hAnsi="Times New Roman" w:eastAsia="方正仿宋_GBK" w:cs="Times New Roman"/>
          <w:color w:val="auto"/>
          <w:sz w:val="32"/>
          <w:szCs w:val="32"/>
          <w:highlight w:val="none"/>
          <w:u w:val="none"/>
        </w:rPr>
        <w:t>对本行合并、分立、解散、清算或变更公司形式等事项做出决议；</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12.</w:t>
      </w:r>
      <w:r>
        <w:rPr>
          <w:rFonts w:hint="default" w:ascii="Times New Roman" w:hAnsi="Times New Roman" w:eastAsia="方正仿宋_GBK" w:cs="Times New Roman"/>
          <w:color w:val="auto"/>
          <w:sz w:val="32"/>
          <w:szCs w:val="32"/>
          <w:highlight w:val="none"/>
          <w:u w:val="none"/>
        </w:rPr>
        <w:t>修订本章程；</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13.</w:t>
      </w:r>
      <w:r>
        <w:rPr>
          <w:rFonts w:hint="default" w:ascii="Times New Roman" w:hAnsi="Times New Roman" w:eastAsia="方正仿宋_GBK" w:cs="Times New Roman"/>
          <w:color w:val="auto"/>
          <w:sz w:val="32"/>
          <w:szCs w:val="32"/>
          <w:highlight w:val="none"/>
          <w:u w:val="none"/>
        </w:rPr>
        <w:t>审议股东会提案；</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14.</w:t>
      </w:r>
      <w:r>
        <w:rPr>
          <w:rFonts w:hint="default" w:ascii="Times New Roman" w:hAnsi="Times New Roman" w:eastAsia="方正仿宋_GBK" w:cs="Times New Roman"/>
          <w:color w:val="auto"/>
          <w:sz w:val="32"/>
          <w:szCs w:val="32"/>
          <w:highlight w:val="none"/>
          <w:u w:val="none"/>
        </w:rPr>
        <w:t>决定聘请或解聘为本行审计的会计师事务所；</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15.</w:t>
      </w:r>
      <w:r>
        <w:rPr>
          <w:rFonts w:hint="default" w:ascii="Times New Roman" w:hAnsi="Times New Roman" w:eastAsia="方正仿宋_GBK" w:cs="Times New Roman"/>
          <w:color w:val="auto"/>
          <w:sz w:val="32"/>
          <w:szCs w:val="32"/>
          <w:highlight w:val="none"/>
          <w:u w:val="none"/>
        </w:rPr>
        <w:t>审议法律、行政法规、规章和规范性文件规定应当由股东会决定的其他事项。</w:t>
      </w:r>
    </w:p>
    <w:p>
      <w:pPr>
        <w:pStyle w:val="15"/>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股东会决议不得违反法律、行政法规、规章、规范性文件和本章程的规定。</w:t>
      </w:r>
    </w:p>
    <w:p>
      <w:pPr>
        <w:pStyle w:val="15"/>
        <w:keepNext w:val="0"/>
        <w:keepLines w:val="0"/>
        <w:pageBreakBefore w:val="0"/>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对前款所列事项股东以书面形式一致表示同意的，可以不召开股东会会议，直接作出决定，并由全体股东在决定文件上签名、盖章。</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执行董事</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本公司执行董事的工作职责包括但不限于以下几个方面：</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1.召集和主持股东会，并向股东会报告工作；</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2.执行股东会的决议；</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3.决定本行的经营计划，确定本行的经营发展战略；</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4.制订本行的年度财务预算方案、决算方案、利润分配方案、弥补亏损方案和风险资本分配方案，</w:t>
      </w:r>
      <w:r>
        <w:rPr>
          <w:rFonts w:hint="default" w:ascii="Times New Roman" w:hAnsi="Times New Roman" w:eastAsia="方正仿宋_GBK" w:cs="Times New Roman"/>
          <w:color w:val="auto"/>
          <w:sz w:val="32"/>
          <w:szCs w:val="32"/>
        </w:rPr>
        <w:t>根据资本与业务发展匹配状况，合理持续补充资本；</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5.制订本行增加或者减少注册资本方案；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6.制订本行合并、分立、解散、清算或变更公司形式的方案；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7.决定本行内部管理机构；</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8.决定聘任或者解聘本行高级管理层人员；</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9.审定本行的基本管理制度；</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10.监督本行高级管理层的履职情况，</w:t>
      </w:r>
      <w:r>
        <w:rPr>
          <w:rFonts w:hint="default" w:ascii="Times New Roman" w:hAnsi="Times New Roman" w:eastAsia="方正仿宋_GBK" w:cs="Times New Roman"/>
          <w:color w:val="auto"/>
          <w:sz w:val="32"/>
          <w:szCs w:val="32"/>
        </w:rPr>
        <w:t>要求高级管理层定期报告经营事项，</w:t>
      </w:r>
      <w:r>
        <w:rPr>
          <w:rFonts w:hint="default" w:ascii="Times New Roman" w:hAnsi="Times New Roman" w:eastAsia="方正仿宋_GBK" w:cs="Times New Roman"/>
          <w:color w:val="auto"/>
          <w:kern w:val="0"/>
          <w:sz w:val="32"/>
          <w:szCs w:val="32"/>
        </w:rPr>
        <w:t>并对经营状况进行评估，确保高级管理层有效履行管理职责；</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11.决定本行的风险管理和内部控制政策，</w:t>
      </w:r>
      <w:r>
        <w:rPr>
          <w:rFonts w:hint="default" w:ascii="Times New Roman" w:hAnsi="Times New Roman" w:eastAsia="方正仿宋_GBK" w:cs="Times New Roman"/>
          <w:color w:val="auto"/>
          <w:sz w:val="32"/>
          <w:szCs w:val="32"/>
        </w:rPr>
        <w:t>定期评估风险状况，确定风险限额</w:t>
      </w:r>
      <w:r>
        <w:rPr>
          <w:rFonts w:hint="default" w:ascii="Times New Roman" w:hAnsi="Times New Roman" w:eastAsia="方正仿宋_GBK" w:cs="Times New Roman"/>
          <w:color w:val="auto"/>
          <w:kern w:val="0"/>
          <w:sz w:val="32"/>
          <w:szCs w:val="32"/>
        </w:rPr>
        <w:t>；</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12.管理本行的信息披露，并对本行的会计和财务报告体系的完整性、准确性承担最终责任；</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13.负责定期评估并完善本行的公司治理状况；</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14.拟订本行回购</w:t>
      </w:r>
      <w:r>
        <w:rPr>
          <w:rFonts w:hint="default" w:ascii="Times New Roman" w:hAnsi="Times New Roman" w:eastAsia="方正仿宋_GBK" w:cs="Times New Roman"/>
          <w:color w:val="auto"/>
          <w:sz w:val="32"/>
          <w:szCs w:val="32"/>
        </w:rPr>
        <w:t>股权</w:t>
      </w:r>
      <w:r>
        <w:rPr>
          <w:rFonts w:hint="default" w:ascii="Times New Roman" w:hAnsi="Times New Roman" w:eastAsia="方正仿宋_GBK" w:cs="Times New Roman"/>
          <w:color w:val="auto"/>
          <w:kern w:val="0"/>
          <w:sz w:val="32"/>
          <w:szCs w:val="32"/>
        </w:rPr>
        <w:t>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15.制订本行公司章程的修改方案；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16.修订本行股东会议事规则和制定行长工作细则；</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17.在授权范围内签署文件；</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18.在发生特大自然灾害等不可抗力的紧急情况下，对本行事务行使符合法律规定和本行利益的特别处置权，并在事后向本行股东会报告；</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19.法律法规、行政规章、</w:t>
      </w:r>
      <w:r>
        <w:rPr>
          <w:rFonts w:hint="default" w:ascii="Times New Roman" w:hAnsi="Times New Roman" w:eastAsia="方正仿宋_GBK" w:cs="Times New Roman"/>
          <w:color w:val="auto"/>
          <w:kern w:val="0"/>
          <w:sz w:val="32"/>
          <w:szCs w:val="32"/>
          <w:lang w:eastAsia="zh-CN"/>
        </w:rPr>
        <w:t>公司</w:t>
      </w:r>
      <w:r>
        <w:rPr>
          <w:rFonts w:hint="default" w:ascii="Times New Roman" w:hAnsi="Times New Roman" w:eastAsia="方正仿宋_GBK" w:cs="Times New Roman"/>
          <w:color w:val="auto"/>
          <w:kern w:val="0"/>
          <w:sz w:val="32"/>
          <w:szCs w:val="32"/>
        </w:rPr>
        <w:t>章程规定的及本行股东会授予的其他职权。</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监事会</w:t>
      </w:r>
    </w:p>
    <w:p>
      <w:pPr>
        <w:pStyle w:val="15"/>
        <w:keepNext w:val="0"/>
        <w:keepLines w:val="0"/>
        <w:pageBreakBefore w:val="0"/>
        <w:tabs>
          <w:tab w:val="left" w:pos="1418"/>
          <w:tab w:val="left" w:pos="1701"/>
        </w:tabs>
        <w:kinsoku/>
        <w:wordWrap/>
        <w:overflowPunct/>
        <w:topLinePunct w:val="0"/>
        <w:autoSpaceDE/>
        <w:autoSpaceDN/>
        <w:bidi w:val="0"/>
        <w:spacing w:line="580" w:lineRule="exact"/>
        <w:ind w:firstLine="64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本公司监事会的工作职责包括但不限于以下几个方面：</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1.监督执行董事确立稳健的经验理念、价值准则和制定符合本行实际的发展战略；</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2.定期对执行董事制定的发展战略的科学性、合理性和有效性进行评估，形成评估报告；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3.对本行经营决策、风险管理和内部控制等进行监督检查并督促整改；</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4.对执行董事的选聘程序进行监督；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5.对执行董事、监事和高级管理人员履职情况进行综合评价；</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6.对本行薪酬管理制度和政策及高级管理人员薪酬方案的科学性、合理性进行监督；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7.定期与银行业监督管理机构沟通本行情况；</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8.当执行董事、高级管理人员的行为损害本行的利益时，要求执行董事、高级管理人员予以纠正；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9.根据需要对执行董事和高级管理人员进行离任审计；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10.对执行董事和高级管理人员进行质询，按照《公司法》的规定，对执行董事、高级管理人员提起诉讼；</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11.对执行董事决定的事项提出质询或者建议；认为必要时，可指派监事列席本行高级管理层会议；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12.检查、监督本行的财务活动；</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13.核对执行董事拟提交股东会的财务报告、营业报告和利润分配方案等财务资料，发现疑问的，可以本行名义委托注册会计师、执业审计师帮助复审；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14.监督本行的经营决策、风险管理和内部控制等；</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15.根据本章程的规定提议召开临时股东会，在执行董事不履行召集和主持股东会职责时召集和主持股东会；</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16.向股东会提出提案，向股东会作监事会报告；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17.制订监事会议事规则的修订案；</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18.对违反法律、行政法规、</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章程或者股东会决议的执行董事、高级管理人员提出罢免的建议；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19.法律、行政法规、规章、规范性文件及</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章程规定的其他职权。</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三、股东会召开情况</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报告期内，本公司共召开</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次股东会，审议并表决通过了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highlight w:val="none"/>
          <w:lang w:val="en-US" w:eastAsia="zh-CN"/>
        </w:rPr>
        <w:t>福建石狮渝农商村镇银行有限责任公司2023年度执行董事工作报告》《福建石狮渝农商村镇银行有限责任公司2023年度监事会工作报告》、《</w:t>
      </w:r>
      <w:r>
        <w:rPr>
          <w:rFonts w:hint="default" w:ascii="Times New Roman" w:hAnsi="Times New Roman" w:eastAsia="方正仿宋_GBK" w:cs="Times New Roman"/>
          <w:sz w:val="32"/>
          <w:szCs w:val="32"/>
          <w:highlight w:val="none"/>
        </w:rPr>
        <w:t>关于审议福建石狮渝农商村镇银行有限责任公司2023年度财务决算方案的议案</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关于审议福建石狮渝农商村镇银行有限责任公司2024年度财务预算方案的议案</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关于审议福建石狮渝农商村镇银行有限责任公司2024年</w:t>
      </w:r>
      <w:r>
        <w:rPr>
          <w:rFonts w:hint="default" w:ascii="Times New Roman" w:hAnsi="Times New Roman" w:eastAsia="方正仿宋_GBK" w:cs="Times New Roman"/>
          <w:sz w:val="32"/>
          <w:szCs w:val="32"/>
        </w:rPr>
        <w:t>度绩效考核方案的议案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关于审议聘请福建石狮渝农商村镇银行有限责任公司2024年度会计师事务所的议案》、《福建石狮渝农商村镇银行有限责任公司2023年度关联交易报告》、《福建石狮渝农商村镇银行有限责任公司股东会对执行董事授权书》、《石狮渝农商村镇银行2024年上半年流动性风险管理工作报告》、《福建石狮渝农商村镇银行有限责任公司关于选举执行董事（兼行长）的议案》、《福建石狮渝农商村镇银行有限责任公司关于执行董事授权书的议案》、《福建石狮渝农商村镇银行有限责任公司关于同意股东监事辞职的议案》、《石狮渝农商村镇银行2024-2026年度经理层成员任期制和契约化管理工作方案》。</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四、监事的工作情况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报告期内，组织召开了监事会</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次。审</w:t>
      </w:r>
      <w:r>
        <w:rPr>
          <w:rFonts w:hint="default" w:ascii="Times New Roman" w:hAnsi="Times New Roman" w:eastAsia="方正仿宋_GBK" w:cs="Times New Roman"/>
          <w:color w:val="auto"/>
          <w:sz w:val="32"/>
          <w:szCs w:val="32"/>
          <w:highlight w:val="none"/>
          <w:lang w:eastAsia="zh-CN"/>
        </w:rPr>
        <w:t>议</w:t>
      </w:r>
      <w:r>
        <w:rPr>
          <w:rFonts w:hint="default" w:ascii="Times New Roman" w:hAnsi="Times New Roman" w:eastAsia="方正仿宋_GBK" w:cs="Times New Roman"/>
          <w:color w:val="auto"/>
          <w:sz w:val="32"/>
          <w:szCs w:val="32"/>
          <w:highlight w:val="none"/>
        </w:rPr>
        <w:t>并表决了《石狮渝农商村镇银行监事会对执行董事履职评价测评》、《石狮渝农商村镇银行监事会对高级管理层履职评价测评》、《监事长述职报告》、《股东监事述职报告》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《职工监事述职报告》、</w:t>
      </w:r>
      <w:r>
        <w:rPr>
          <w:rFonts w:hint="default" w:ascii="Times New Roman" w:hAnsi="Times New Roman" w:eastAsia="方正仿宋_GBK" w:cs="Times New Roman"/>
          <w:sz w:val="32"/>
          <w:szCs w:val="32"/>
          <w:lang w:val="en-US" w:eastAsia="zh-CN"/>
        </w:rPr>
        <w:t>《石狮渝农商村镇银行监事会考评》、《石狮渝农商村镇银行2024年度审计工作计划》、《福建石狮渝农商村镇银行有限责任公司2023年度执行董事工作报告》、《关于审议福建石狮渝农商村镇银行有限责任公司2023年度财务决算方案的议案》、《关于审议福建石狮渝农商村镇银行有限责任公司2024年度财务预算方案的议案》、《关于审议福建石狮渝农商村镇银行有限责任公司2023年度利润分配方案的议案》、《关于审议福建石狮渝农商村镇银行有限责任公司2024年度绩效考核方案的议案》、《关于审议聘请福建石狮渝农商村镇银行有限责任公司2024年度会计师事务所的议案》、《福建石狮渝农商村镇银行有限责任公司2023年度关联交易报告》、《福建石狮渝农商村镇银行有限责任公司股东会对执行董事授权书》、《石狮渝农商村镇银行2024年上半年流动性风险管理工作报告》、《福建石狮渝农商村镇银行有限责任公司关于同意股东监事辞职的议案》、《石狮渝农商村镇银行关于风险治理行动的工作情况汇报》、《石狮渝农商村镇银行2024年征信业务专项审计报告》、《石狮渝农商村镇银行2024年消费者保护权益专项审计报告》、《石狮渝农商村镇银行2024年审计稽核条线案件风险排查报告》、《石狮渝农商村镇银行2024年反洗钱及反恐怖融资专项审计报告》、《石狮渝农商村镇银行2024年度关联交易专项审计报告》、《石狮渝农商村镇银行关联方信息》。</w:t>
      </w:r>
      <w:r>
        <w:rPr>
          <w:rFonts w:hint="default" w:ascii="Times New Roman" w:hAnsi="Times New Roman" w:eastAsia="方正仿宋_GBK" w:cs="Times New Roman"/>
          <w:color w:val="auto"/>
          <w:sz w:val="32"/>
          <w:szCs w:val="32"/>
          <w:highlight w:val="none"/>
        </w:rPr>
        <w:t>对监事、执行董事、高级管理层及其成员20</w:t>
      </w: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年度工作履职情况进行了评价考核。</w:t>
      </w:r>
      <w:r>
        <w:rPr>
          <w:rFonts w:hint="default" w:ascii="Times New Roman" w:hAnsi="Times New Roman" w:eastAsia="方正仿宋_GBK" w:cs="Times New Roman"/>
          <w:color w:val="auto"/>
          <w:sz w:val="32"/>
          <w:szCs w:val="32"/>
          <w:highlight w:val="none"/>
          <w:lang w:val="en-US" w:eastAsia="zh-CN"/>
        </w:rPr>
        <w:t>参会监事认真审议各项议案，独立发表意见，体现了较强的履职能力和责任心。</w:t>
      </w:r>
    </w:p>
    <w:p>
      <w:pPr>
        <w:keepNext w:val="0"/>
        <w:keepLines w:val="0"/>
        <w:pageBreakBefore w:val="0"/>
        <w:widowControl/>
        <w:numPr>
          <w:ilvl w:val="0"/>
          <w:numId w:val="2"/>
        </w:numPr>
        <w:kinsoku/>
        <w:wordWrap/>
        <w:overflowPunct/>
        <w:topLinePunct w:val="0"/>
        <w:autoSpaceDE/>
        <w:autoSpaceDN/>
        <w:bidi w:val="0"/>
        <w:spacing w:line="580" w:lineRule="exact"/>
        <w:ind w:left="0" w:leftChars="0" w:firstLine="640" w:firstLineChars="200"/>
        <w:jc w:val="both"/>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行长的工作情况</w:t>
      </w:r>
    </w:p>
    <w:p>
      <w:pPr>
        <w:ind w:firstLine="663"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b/>
          <w:bCs/>
          <w:sz w:val="33"/>
          <w:szCs w:val="33"/>
        </w:rPr>
        <w:t>一是</w:t>
      </w:r>
      <w:r>
        <w:rPr>
          <w:rFonts w:hint="default" w:ascii="Times New Roman" w:hAnsi="Times New Roman" w:eastAsia="方正仿宋_GBK" w:cs="Times New Roman"/>
          <w:sz w:val="33"/>
          <w:szCs w:val="33"/>
        </w:rPr>
        <w:t>强化党建工作。全面贯彻党的二十大和二十届二中、三中全会精神，坚定拥护“两个确立”、坚决做到“两个维护”。坚定不移推进全面从严治党，常态化开展警示教育，充分运用违纪违法典型案例、警示教育片等，强化同级同类警示作用，一体推进不想腐、不能腐、不敢腐。推动党建工作和业务工作深度融合，要求党员干部亮身份，突出党员先锋模范作用，发挥基层党支部战斗堡垒作用。2024年预备党员转正1人。</w:t>
      </w:r>
      <w:r>
        <w:rPr>
          <w:rFonts w:hint="default" w:ascii="Times New Roman" w:hAnsi="Times New Roman" w:eastAsia="方正仿宋_GBK" w:cs="Times New Roman"/>
          <w:b/>
          <w:bCs/>
          <w:sz w:val="33"/>
          <w:szCs w:val="33"/>
        </w:rPr>
        <w:t>二是</w:t>
      </w:r>
      <w:r>
        <w:rPr>
          <w:rFonts w:hint="default" w:ascii="Times New Roman" w:hAnsi="Times New Roman" w:eastAsia="方正仿宋_GBK" w:cs="Times New Roman"/>
          <w:sz w:val="33"/>
          <w:szCs w:val="33"/>
        </w:rPr>
        <w:t>持续完善公司治理。健全“两会一层”的公司架构，完善了股东会、执行董事、监事会和高级管理层构成的公司治理架构。同时，继续加强向各级监管机构汇报沟通，在监管机构的指导和支持下，依法合规地推进村镇银行股权改革工作。</w:t>
      </w:r>
      <w:r>
        <w:rPr>
          <w:rFonts w:hint="default" w:ascii="Times New Roman" w:hAnsi="Times New Roman" w:eastAsia="方正仿宋_GBK" w:cs="Times New Roman"/>
          <w:b/>
          <w:bCs/>
          <w:sz w:val="33"/>
          <w:szCs w:val="33"/>
        </w:rPr>
        <w:t>三是</w:t>
      </w:r>
      <w:r>
        <w:rPr>
          <w:rFonts w:hint="default" w:ascii="Times New Roman" w:hAnsi="Times New Roman" w:eastAsia="方正仿宋_GBK" w:cs="Times New Roman"/>
          <w:sz w:val="33"/>
          <w:szCs w:val="33"/>
        </w:rPr>
        <w:t>强化内控合规建设。扎实推进内控“提档升级”，2024年部门自查发现问题23个，完成整改23个；条线部门案排检查发现问题53个，完成整改52个、持续整改中1个；上级检查问题49个，完成整改48个、持续整改中1个。同时钉牢屡查屡犯问题，对违规行为严格按照制度规定进行处罚。</w:t>
      </w:r>
      <w:r>
        <w:rPr>
          <w:rFonts w:hint="default" w:ascii="Times New Roman" w:hAnsi="Times New Roman" w:eastAsia="方正仿宋_GBK" w:cs="Times New Roman"/>
          <w:b/>
          <w:bCs/>
          <w:sz w:val="33"/>
          <w:szCs w:val="33"/>
        </w:rPr>
        <w:t>四是</w:t>
      </w:r>
      <w:r>
        <w:rPr>
          <w:rFonts w:hint="default" w:ascii="Times New Roman" w:hAnsi="Times New Roman" w:eastAsia="方正仿宋_GBK" w:cs="Times New Roman"/>
          <w:sz w:val="33"/>
          <w:szCs w:val="33"/>
        </w:rPr>
        <w:t>强化人才队伍建设。立足我行人力资源现状，完善部门和员工岗位职责表，优化人员配置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3"/>
          <w:szCs w:val="33"/>
        </w:rPr>
        <w:t>保证队伍稳定和素质提升。</w:t>
      </w:r>
      <w:r>
        <w:rPr>
          <w:rFonts w:hint="default" w:ascii="Times New Roman" w:hAnsi="Times New Roman" w:eastAsia="方正仿宋_GBK" w:cs="Times New Roman"/>
          <w:b/>
          <w:bCs/>
          <w:sz w:val="33"/>
          <w:szCs w:val="33"/>
        </w:rPr>
        <w:t>五是</w:t>
      </w:r>
      <w:r>
        <w:rPr>
          <w:rFonts w:hint="default" w:ascii="Times New Roman" w:hAnsi="Times New Roman" w:eastAsia="方正仿宋_GBK" w:cs="Times New Roman"/>
          <w:sz w:val="33"/>
          <w:szCs w:val="33"/>
        </w:rPr>
        <w:t>切实防范信贷风险。严把贷款准入关口，将贷款“三查”等基本要求落到实处，强化“三道防线”履职。此外，我行持续压降存量大额贷款，目前已无大额授信，牢牢坚守了市场定位。</w:t>
      </w:r>
      <w:r>
        <w:rPr>
          <w:rFonts w:hint="default" w:ascii="Times New Roman" w:hAnsi="Times New Roman" w:eastAsia="方正仿宋_GBK" w:cs="Times New Roman"/>
          <w:b/>
          <w:bCs/>
          <w:sz w:val="33"/>
          <w:szCs w:val="33"/>
        </w:rPr>
        <w:t>六是</w:t>
      </w:r>
      <w:r>
        <w:rPr>
          <w:rFonts w:hint="default" w:ascii="Times New Roman" w:hAnsi="Times New Roman" w:eastAsia="方正仿宋_GBK" w:cs="Times New Roman"/>
          <w:sz w:val="33"/>
          <w:szCs w:val="33"/>
        </w:rPr>
        <w:t>不断规范员工行为。坚持检查从严，扎实开展条线排查，对发起行案防排查和条线检查发现的问题，做到规范横向到边、纵向到底，不留死角。定期开展员工行为排查，做实员工行为管理。</w:t>
      </w:r>
      <w:r>
        <w:rPr>
          <w:rFonts w:hint="default" w:ascii="Times New Roman" w:hAnsi="Times New Roman" w:eastAsia="方正仿宋_GBK" w:cs="Times New Roman"/>
          <w:b/>
          <w:bCs/>
          <w:sz w:val="33"/>
          <w:szCs w:val="33"/>
        </w:rPr>
        <w:t>七是</w:t>
      </w:r>
      <w:r>
        <w:rPr>
          <w:rFonts w:hint="default" w:ascii="Times New Roman" w:hAnsi="Times New Roman" w:eastAsia="方正仿宋_GBK" w:cs="Times New Roman"/>
          <w:sz w:val="33"/>
          <w:szCs w:val="33"/>
        </w:rPr>
        <w:t>保障安全稳健运营。组织防盗、防火、防劫持、防挤兑等应急演练，强化员工应急处突能力。定期召开安全保卫联席会、贷后管理联席会、制度评审会等，全年未发生案件或事故。</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第七节</w:t>
      </w:r>
      <w:r>
        <w:rPr>
          <w:rFonts w:hint="default" w:ascii="Times New Roman" w:hAnsi="Times New Roman" w:eastAsia="方正小标宋_GBK" w:cs="Times New Roman"/>
          <w:bCs/>
          <w:color w:val="auto"/>
          <w:kern w:val="0"/>
          <w:sz w:val="32"/>
          <w:szCs w:val="32"/>
          <w:highlight w:val="none"/>
          <w:lang w:val="en-US" w:eastAsia="zh-CN"/>
        </w:rPr>
        <w:t xml:space="preserve"> </w:t>
      </w:r>
      <w:r>
        <w:rPr>
          <w:rFonts w:hint="default" w:ascii="Times New Roman" w:hAnsi="Times New Roman" w:eastAsia="方正小标宋_GBK" w:cs="Times New Roman"/>
          <w:bCs/>
          <w:color w:val="auto"/>
          <w:kern w:val="0"/>
          <w:sz w:val="32"/>
          <w:szCs w:val="32"/>
          <w:highlight w:val="none"/>
        </w:rPr>
        <w:t>公司主要业务情况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一、本公司整体经营情况</w:t>
      </w:r>
    </w:p>
    <w:p>
      <w:pPr>
        <w:numPr>
          <w:ilvl w:val="0"/>
          <w:numId w:val="0"/>
        </w:numPr>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20</w:t>
      </w:r>
      <w:r>
        <w:rPr>
          <w:rFonts w:hint="default" w:ascii="Times New Roman" w:hAnsi="Times New Roman" w:eastAsia="方正仿宋_GBK" w:cs="Times New Roman"/>
          <w:color w:val="auto"/>
          <w:kern w:val="0"/>
          <w:sz w:val="32"/>
          <w:szCs w:val="32"/>
          <w:highlight w:val="none"/>
          <w:lang w:val="en-US" w:eastAsia="zh-CN"/>
        </w:rPr>
        <w:t>24</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eastAsia="zh-CN"/>
        </w:rPr>
        <w:t>石狮</w:t>
      </w:r>
      <w:r>
        <w:rPr>
          <w:rFonts w:hint="default" w:ascii="Times New Roman" w:hAnsi="Times New Roman" w:eastAsia="方正仿宋_GBK" w:cs="Times New Roman"/>
          <w:color w:val="auto"/>
          <w:kern w:val="0"/>
          <w:sz w:val="32"/>
          <w:szCs w:val="32"/>
          <w:highlight w:val="none"/>
        </w:rPr>
        <w:t>渝农商村镇银行（以下简称“本行”）严格按照“支农支小”的市场定位，努力防范和化解金融风险，加大对实体经济支持力度，保持了持续稳健发展。报告期内本行主要经营情况如下：</w:t>
      </w:r>
    </w:p>
    <w:p>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本行围绕发起行制定的工作目标，积极主动调整存贷结构，加大储蓄存款的营销力度，同时加快信贷投放速度，最终实现资产负债业务双提升。</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业务规模有增长。</w:t>
      </w:r>
      <w:r>
        <w:rPr>
          <w:rFonts w:hint="default" w:ascii="Times New Roman" w:hAnsi="Times New Roman" w:eastAsia="方正仿宋_GBK" w:cs="Times New Roman"/>
          <w:sz w:val="32"/>
          <w:szCs w:val="32"/>
        </w:rPr>
        <w:t>截至12月末，我行各项存款</w:t>
      </w:r>
      <w:r>
        <w:rPr>
          <w:rFonts w:hint="default" w:ascii="Times New Roman" w:hAnsi="Times New Roman" w:eastAsia="方正仿宋_GBK" w:cs="Times New Roman"/>
          <w:sz w:val="32"/>
          <w:szCs w:val="32"/>
          <w:lang w:val="en-US" w:eastAsia="zh-CN"/>
        </w:rPr>
        <w:t>余额14235万</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较年初增加796万元，增幅6%。各项贷款余额36373万元，较年初增加2730万元，增幅8%。贷款增量居泉州地区村镇银行第一位，贷款规模上升到第四位。</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经营质效有突破。</w:t>
      </w:r>
      <w:r>
        <w:rPr>
          <w:rFonts w:hint="default" w:ascii="Times New Roman" w:hAnsi="Times New Roman" w:eastAsia="方正仿宋_GBK" w:cs="Times New Roman"/>
          <w:sz w:val="32"/>
          <w:szCs w:val="32"/>
          <w:lang w:val="en-US" w:eastAsia="zh-CN"/>
        </w:rPr>
        <w:t>截至12月末，不良贷款余额122.52万元，不良率0.34%，逾期率</w:t>
      </w:r>
      <w:r>
        <w:rPr>
          <w:rFonts w:hint="default" w:ascii="Times New Roman" w:hAnsi="Times New Roman" w:eastAsia="方正仿宋_GBK" w:cs="Times New Roman"/>
          <w:sz w:val="32"/>
          <w:szCs w:val="32"/>
          <w:highlight w:val="none"/>
          <w:lang w:val="en-US" w:eastAsia="zh-CN"/>
        </w:rPr>
        <w:t>0.34%</w:t>
      </w:r>
      <w:r>
        <w:rPr>
          <w:rFonts w:hint="default" w:ascii="Times New Roman" w:hAnsi="Times New Roman" w:eastAsia="方正仿宋_GBK" w:cs="Times New Roman"/>
          <w:sz w:val="32"/>
          <w:szCs w:val="32"/>
          <w:lang w:val="en-US" w:eastAsia="zh-CN"/>
        </w:rPr>
        <w:t>，不良率、逾期率始终控制在发起行目标之内。</w:t>
      </w:r>
      <w:r>
        <w:rPr>
          <w:rFonts w:hint="default" w:ascii="Times New Roman" w:hAnsi="Times New Roman" w:eastAsia="方正仿宋_GBK" w:cs="Times New Roman"/>
          <w:b/>
          <w:sz w:val="32"/>
          <w:szCs w:val="32"/>
        </w:rPr>
        <w:t>三是</w:t>
      </w:r>
      <w:r>
        <w:rPr>
          <w:rFonts w:hint="default" w:ascii="Times New Roman" w:hAnsi="Times New Roman" w:eastAsia="方正仿宋_GBK" w:cs="Times New Roman"/>
          <w:b w:val="0"/>
          <w:bCs/>
          <w:sz w:val="32"/>
          <w:szCs w:val="32"/>
        </w:rPr>
        <w:t>经营效益有提高</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实现营业收入</w:t>
      </w:r>
      <w:r>
        <w:rPr>
          <w:rFonts w:hint="default" w:ascii="Times New Roman" w:hAnsi="Times New Roman" w:eastAsia="方正仿宋_GBK" w:cs="Times New Roman"/>
          <w:sz w:val="32"/>
          <w:szCs w:val="32"/>
          <w:lang w:val="en-US" w:eastAsia="zh-CN"/>
        </w:rPr>
        <w:t>1444</w:t>
      </w:r>
      <w:r>
        <w:rPr>
          <w:rFonts w:hint="default" w:ascii="Times New Roman" w:hAnsi="Times New Roman" w:eastAsia="方正仿宋_GBK" w:cs="Times New Roman"/>
          <w:sz w:val="32"/>
          <w:szCs w:val="32"/>
        </w:rPr>
        <w:t>万元，账面净利润1</w:t>
      </w:r>
      <w:r>
        <w:rPr>
          <w:rFonts w:hint="default"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万元，拨备前利润</w:t>
      </w:r>
      <w:r>
        <w:rPr>
          <w:rFonts w:hint="default" w:ascii="Times New Roman" w:hAnsi="Times New Roman" w:eastAsia="方正仿宋_GBK" w:cs="Times New Roman"/>
          <w:sz w:val="32"/>
          <w:szCs w:val="32"/>
          <w:lang w:val="en-US" w:eastAsia="zh-CN"/>
        </w:rPr>
        <w:t>184</w:t>
      </w:r>
      <w:r>
        <w:rPr>
          <w:rFonts w:hint="default" w:ascii="Times New Roman" w:hAnsi="Times New Roman" w:eastAsia="方正仿宋_GBK" w:cs="Times New Roman"/>
          <w:sz w:val="32"/>
          <w:szCs w:val="32"/>
        </w:rPr>
        <w:t>万元。此外，通过努力，资本充足率、拨备覆盖率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拨贷比、流动性比例、各项贷款占比、农户和小微企业贷款合计占比</w:t>
      </w:r>
      <w:r>
        <w:rPr>
          <w:rFonts w:hint="default" w:ascii="Times New Roman" w:hAnsi="Times New Roman" w:eastAsia="方正仿宋_GBK" w:cs="Times New Roman"/>
          <w:sz w:val="32"/>
          <w:szCs w:val="32"/>
          <w:lang w:val="en-US" w:eastAsia="zh-CN"/>
        </w:rPr>
        <w:t>等主要</w:t>
      </w:r>
      <w:r>
        <w:rPr>
          <w:rFonts w:hint="default" w:ascii="Times New Roman" w:hAnsi="Times New Roman" w:eastAsia="方正仿宋_GBK" w:cs="Times New Roman"/>
          <w:sz w:val="32"/>
          <w:szCs w:val="32"/>
        </w:rPr>
        <w:t>核心监管指标持续达标。</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二、支农支小业务开展情况</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zh-CN"/>
        </w:rPr>
        <w:t>（一）坚守市场定位</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sz w:val="32"/>
          <w:szCs w:val="32"/>
          <w:highlight w:val="none"/>
          <w:lang w:val="en-US" w:eastAsia="zh-CN"/>
        </w:rPr>
        <w:t>2024年，我行聚焦主业主责、突出支农支小、做小做散，在支持农户和小微企业、助力民营实体企业抗疫及复工复产及县域经济发展发挥了重要作用，已成为扎根县域、支农支小、服务三农及乡村振兴的生力军。截止2024年末，农户及小微贷款34918万元，占各项贷款96.17%，全年保持符合监管规定，余额及增量占比都居中辖区内金融机构前列。经营性贷款余额24689万元，比年初增加1933万元；100万元以下贷款占比100%。全年新发放普惠</w:t>
      </w:r>
      <w:r>
        <w:rPr>
          <w:rFonts w:hint="default" w:ascii="Times New Roman" w:hAnsi="Times New Roman" w:eastAsia="方正仿宋_GBK" w:cs="Times New Roman"/>
          <w:color w:val="auto"/>
          <w:sz w:val="32"/>
          <w:szCs w:val="32"/>
          <w:highlight w:val="none"/>
          <w:lang w:val="en-US" w:eastAsia="zh-CN"/>
        </w:rPr>
        <w:t>小微企业客户贷款利率同比降低0.5个百分点。</w:t>
      </w:r>
      <w:r>
        <w:rPr>
          <w:rFonts w:hint="default" w:ascii="Times New Roman" w:hAnsi="Times New Roman" w:eastAsia="方正仿宋_GBK" w:cs="Times New Roman"/>
          <w:sz w:val="32"/>
          <w:szCs w:val="32"/>
          <w:highlight w:val="none"/>
          <w:lang w:val="en-US" w:eastAsia="zh-CN"/>
        </w:rPr>
        <w:t>两增两控、涉农贷款、经营性及中长期贷款占比、减费让利等定位及政策要求指标全部达标，社会责任担当尽职。</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sz w:val="32"/>
          <w:szCs w:val="32"/>
          <w:highlight w:val="none"/>
          <w:lang w:val="zh-CN"/>
        </w:rPr>
      </w:pPr>
      <w:r>
        <w:rPr>
          <w:rFonts w:hint="default" w:ascii="Times New Roman" w:hAnsi="Times New Roman" w:eastAsia="方正楷体_GBK" w:cs="Times New Roman"/>
          <w:b/>
          <w:bCs/>
          <w:color w:val="auto"/>
          <w:sz w:val="32"/>
          <w:szCs w:val="32"/>
          <w:highlight w:val="none"/>
          <w:lang w:val="zh-CN" w:eastAsia="zh-CN"/>
        </w:rPr>
        <w:t>（二）服务小微企业实体</w:t>
      </w:r>
      <w:r>
        <w:rPr>
          <w:rFonts w:hint="default" w:ascii="Times New Roman" w:hAnsi="Times New Roman" w:eastAsia="方正楷体_GBK" w:cs="Times New Roman"/>
          <w:b/>
          <w:bCs/>
          <w:color w:val="auto"/>
          <w:sz w:val="32"/>
          <w:szCs w:val="32"/>
          <w:highlight w:val="none"/>
          <w:lang w:val="zh-CN"/>
        </w:rPr>
        <w:t>经济。</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1.小微企业整体经营情况及发展趋势。</w:t>
      </w:r>
      <w:r>
        <w:rPr>
          <w:rFonts w:hint="default" w:ascii="Times New Roman" w:hAnsi="Times New Roman" w:eastAsia="方正仿宋_GBK" w:cs="Times New Roman"/>
          <w:sz w:val="32"/>
          <w:szCs w:val="32"/>
          <w:highlight w:val="none"/>
          <w:lang w:val="en-US" w:eastAsia="zh-CN"/>
        </w:rPr>
        <w:t>2024年，我行业聚焦主业主责、突出支农支小、做小做散，在支持小微企业及县域经济发展发挥了重要作用，已成为扎根县域、支农支小的生力军。我行专注服务小微企业经济实体的主要为业务发展部，截止2024年末普惠型小微贷款余额24689万元，较年初增长1933万元，增速为8.49%，其增速较各项贷款高0.38%。小微企业客户430户</w:t>
      </w:r>
      <w:r>
        <w:rPr>
          <w:rFonts w:hint="default" w:ascii="Times New Roman" w:hAnsi="Times New Roman" w:eastAsia="方正仿宋_GBK" w:cs="Times New Roman"/>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beforeLines="0" w:afterLines="0" w:line="580" w:lineRule="exact"/>
        <w:ind w:firstLine="643"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2.小微企业信贷政策及落实情况。</w:t>
      </w:r>
      <w:r>
        <w:rPr>
          <w:rFonts w:hint="default" w:ascii="Times New Roman" w:hAnsi="Times New Roman" w:eastAsia="方正仿宋_GBK" w:cs="Times New Roman"/>
          <w:color w:val="000000"/>
          <w:sz w:val="32"/>
          <w:szCs w:val="32"/>
          <w:highlight w:val="none"/>
        </w:rPr>
        <w:t>一是针对小微企业的资金需求的短、频、急，又无担保物的特点，针对推出小企业便捷贷及发展贷款、个体经营户信用贷款、农村专业大户信用贷款、个人助业贷等贷款品种，有信用的、弱担保的，有期限长达10年的、可随借随还的，较好地满足了不同类型客户的融资需求。二是适度放宽抵质押担保物范围。适度接受以专用机器设备、土地经营权为贷款的抵质押担保物。</w:t>
      </w:r>
      <w:r>
        <w:rPr>
          <w:rFonts w:hint="default" w:ascii="Times New Roman" w:hAnsi="Times New Roman" w:eastAsia="方正仿宋_GBK" w:cs="Times New Roman"/>
          <w:color w:val="000000"/>
          <w:sz w:val="32"/>
          <w:szCs w:val="32"/>
          <w:highlight w:val="none"/>
          <w:lang w:eastAsia="zh-CN"/>
        </w:rPr>
        <w:t>三</w:t>
      </w:r>
      <w:r>
        <w:rPr>
          <w:rFonts w:hint="default" w:ascii="Times New Roman" w:hAnsi="Times New Roman" w:eastAsia="方正仿宋_GBK" w:cs="Times New Roman"/>
          <w:color w:val="000000"/>
          <w:sz w:val="32"/>
          <w:szCs w:val="32"/>
          <w:highlight w:val="none"/>
        </w:rPr>
        <w:t>是推出中小微企业经营性贷款无还本续贷业务，有效解决中小微企业到期贷款资金紧张的困境</w:t>
      </w:r>
      <w:r>
        <w:rPr>
          <w:rFonts w:hint="default" w:ascii="Times New Roman" w:hAnsi="Times New Roman" w:eastAsia="方正仿宋_GBK" w:cs="Times New Roman"/>
          <w:color w:val="000000"/>
          <w:sz w:val="32"/>
          <w:szCs w:val="32"/>
          <w:highlight w:val="none"/>
          <w:lang w:val="en-US" w:eastAsia="zh-CN"/>
        </w:rPr>
        <w:t>。四是始终秉承让客户少跑路，不跑路的原则，创新线上支用及续贷功能，截止12月末共计321名客户使用线上支用及续贷功能，涉及金额8563万元。</w:t>
      </w:r>
    </w:p>
    <w:p>
      <w:pPr>
        <w:widowControl/>
        <w:spacing w:line="360" w:lineRule="auto"/>
        <w:ind w:firstLine="640" w:firstLineChars="200"/>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三、报告期末贷款“五级”分类情况</w:t>
      </w:r>
    </w:p>
    <w:p>
      <w:pPr>
        <w:widowControl/>
        <w:spacing w:line="360" w:lineRule="auto"/>
        <w:jc w:val="righ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单位：人民币、万元、%</w:t>
      </w:r>
    </w:p>
    <w:tbl>
      <w:tblPr>
        <w:tblStyle w:val="10"/>
        <w:tblW w:w="856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49"/>
        <w:gridCol w:w="2807"/>
        <w:gridCol w:w="31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贷款五级分类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贷款余额</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占贷款总额比例%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正常类</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36250.75</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99.66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关注类</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次级类</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11.42</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可疑类</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111.10</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损失类</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合计</w:t>
            </w:r>
          </w:p>
        </w:tc>
        <w:tc>
          <w:tcPr>
            <w:tcW w:w="2807"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36373.27</w:t>
            </w:r>
          </w:p>
        </w:tc>
        <w:tc>
          <w:tcPr>
            <w:tcW w:w="310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100</w:t>
            </w:r>
          </w:p>
        </w:tc>
      </w:tr>
    </w:tbl>
    <w:p>
      <w:pPr>
        <w:widowControl/>
        <w:spacing w:line="360" w:lineRule="auto"/>
        <w:ind w:firstLine="640" w:firstLineChars="200"/>
        <w:rPr>
          <w:rFonts w:hint="default" w:ascii="Times New Roman" w:hAnsi="Times New Roman" w:eastAsia="方正黑体_GBK" w:cs="Times New Roman"/>
          <w:b/>
          <w:bCs/>
          <w:kern w:val="0"/>
          <w:sz w:val="32"/>
          <w:szCs w:val="32"/>
        </w:rPr>
      </w:pPr>
      <w:r>
        <w:rPr>
          <w:rFonts w:hint="default" w:ascii="Times New Roman" w:hAnsi="Times New Roman" w:eastAsia="方正黑体_GBK" w:cs="Times New Roman"/>
          <w:bCs/>
          <w:kern w:val="0"/>
          <w:sz w:val="32"/>
          <w:szCs w:val="32"/>
        </w:rPr>
        <w:t>四、贷款损失准备计提情况</w:t>
      </w:r>
    </w:p>
    <w:p>
      <w:pPr>
        <w:widowControl/>
        <w:spacing w:line="360" w:lineRule="auto"/>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报告期末，提取贷款损失准备余额共计916.07万元，贷款拨备率2.52%，拨备覆盖率747.70%，优于监管要求。</w:t>
      </w:r>
    </w:p>
    <w:p>
      <w:pPr>
        <w:widowControl/>
        <w:spacing w:line="360" w:lineRule="auto"/>
        <w:ind w:firstLine="640" w:firstLineChars="200"/>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五、报告期末，本公司重组贷款情况</w:t>
      </w:r>
    </w:p>
    <w:p>
      <w:pPr>
        <w:widowControl/>
        <w:spacing w:line="360" w:lineRule="auto"/>
        <w:ind w:firstLine="640" w:firstLineChars="200"/>
        <w:jc w:val="left"/>
        <w:rPr>
          <w:rFonts w:hint="default" w:ascii="Times New Roman" w:hAnsi="Times New Roman" w:eastAsia="方正黑体_GBK" w:cs="Times New Roman"/>
          <w:bCs/>
          <w:kern w:val="0"/>
          <w:sz w:val="32"/>
          <w:szCs w:val="32"/>
        </w:rPr>
      </w:pPr>
      <w:r>
        <w:rPr>
          <w:rFonts w:hint="default" w:ascii="Times New Roman" w:hAnsi="Times New Roman" w:eastAsia="方正仿宋_GBK" w:cs="Times New Roman"/>
          <w:kern w:val="0"/>
          <w:sz w:val="32"/>
          <w:szCs w:val="32"/>
        </w:rPr>
        <w:t>截止报告期末，我行无重组贷款。</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六、主要存款类别、日均余额</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单位：人民币、万元</w:t>
      </w:r>
    </w:p>
    <w:tbl>
      <w:tblPr>
        <w:tblStyle w:val="10"/>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95"/>
        <w:gridCol w:w="3352"/>
        <w:gridCol w:w="27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类别</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报告期末余额</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日均余额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对公存款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bCs/>
                <w:color w:val="auto"/>
                <w:sz w:val="24"/>
                <w:szCs w:val="24"/>
                <w:highlight w:val="none"/>
                <w:lang w:val="en-US" w:eastAsia="zh-CN"/>
              </w:rPr>
              <w:t>1021.26</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1406.93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9"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个人存款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Cs/>
                <w:color w:val="auto"/>
                <w:kern w:val="2"/>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13213.32</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center"/>
              <w:rPr>
                <w:rFonts w:hint="default" w:ascii="Times New Roman" w:hAnsi="Times New Roman" w:eastAsia="方正仿宋_GBK" w:cs="Times New Roman"/>
                <w:bCs/>
                <w:color w:val="auto"/>
                <w:kern w:val="2"/>
                <w:sz w:val="24"/>
                <w:szCs w:val="24"/>
                <w:highlight w:val="none"/>
                <w:lang w:val="en-US"/>
              </w:rPr>
            </w:pPr>
            <w:r>
              <w:rPr>
                <w:rFonts w:hint="default" w:ascii="Times New Roman" w:hAnsi="Times New Roman" w:eastAsia="方正仿宋_GBK" w:cs="Times New Roman"/>
                <w:bCs/>
                <w:color w:val="auto"/>
                <w:sz w:val="24"/>
                <w:szCs w:val="24"/>
                <w:highlight w:val="none"/>
                <w:lang w:val="en-US" w:eastAsia="zh-CN"/>
              </w:rPr>
              <w:t>10457.57</w:t>
            </w:r>
          </w:p>
        </w:tc>
      </w:tr>
    </w:tbl>
    <w:p>
      <w:pPr>
        <w:widowControl/>
        <w:spacing w:line="360" w:lineRule="auto"/>
        <w:ind w:firstLine="640" w:firstLineChars="200"/>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rPr>
        <w:t>七、主要贷款类别、日均余额及年均贷款利率</w:t>
      </w:r>
    </w:p>
    <w:p>
      <w:pPr>
        <w:widowControl/>
        <w:spacing w:line="360" w:lineRule="auto"/>
        <w:jc w:val="righ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单位：人民币、万元</w:t>
      </w:r>
    </w:p>
    <w:tbl>
      <w:tblPr>
        <w:tblStyle w:val="10"/>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8"/>
        <w:gridCol w:w="2464"/>
        <w:gridCol w:w="2028"/>
        <w:gridCol w:w="24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类别</w:t>
            </w:r>
          </w:p>
        </w:tc>
        <w:tc>
          <w:tcPr>
            <w:tcW w:w="246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报告期末余额</w:t>
            </w:r>
          </w:p>
        </w:tc>
        <w:tc>
          <w:tcPr>
            <w:tcW w:w="20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月平均余额</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平均贷款利率%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企业贷款</w:t>
            </w:r>
          </w:p>
        </w:tc>
        <w:tc>
          <w:tcPr>
            <w:tcW w:w="246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c>
          <w:tcPr>
            <w:tcW w:w="20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个人贷款</w:t>
            </w:r>
          </w:p>
        </w:tc>
        <w:tc>
          <w:tcPr>
            <w:tcW w:w="2464"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36373.27</w:t>
            </w:r>
          </w:p>
        </w:tc>
        <w:tc>
          <w:tcPr>
            <w:tcW w:w="2028" w:type="dxa"/>
            <w:tcBorders>
              <w:top w:val="outset" w:color="auto" w:sz="6" w:space="0"/>
              <w:left w:val="outset" w:color="auto" w:sz="6" w:space="0"/>
              <w:bottom w:val="outset" w:color="auto" w:sz="6" w:space="0"/>
              <w:right w:val="outset" w:color="auto" w:sz="6"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35463.83</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3.71</w:t>
            </w:r>
          </w:p>
        </w:tc>
      </w:tr>
    </w:tbl>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八、报告期末无逾期未偿付债务情况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九、关联交易情况</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（一）关联方关系。</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截至20</w:t>
      </w:r>
      <w:r>
        <w:rPr>
          <w:rFonts w:hint="default" w:ascii="Times New Roman" w:hAnsi="Times New Roman" w:eastAsia="方正仿宋_GBK" w:cs="Times New Roman"/>
          <w:color w:val="auto"/>
          <w:kern w:val="0"/>
          <w:sz w:val="32"/>
          <w:szCs w:val="32"/>
          <w:highlight w:val="none"/>
          <w:lang w:val="en-US" w:eastAsia="zh-CN"/>
        </w:rPr>
        <w:t>24</w:t>
      </w:r>
      <w:r>
        <w:rPr>
          <w:rFonts w:hint="default" w:ascii="Times New Roman" w:hAnsi="Times New Roman" w:eastAsia="方正仿宋_GBK" w:cs="Times New Roman"/>
          <w:color w:val="auto"/>
          <w:kern w:val="0"/>
          <w:sz w:val="32"/>
          <w:szCs w:val="32"/>
          <w:highlight w:val="none"/>
        </w:rPr>
        <w:t>年12月31日，本行与主发起行重庆农村商业银行存在关联交易。</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rPr>
        <w:t>（二）关联交易。</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2024年度合计发生关联交易6笔、金额5021.06万元，其中存放发起行同业存款2笔、金额5000万元；发起行已减免的IT系统建设运维委托服务费1笔、金额20.42万元；向关联方收取理财代理销售手续费3笔、金额0.64万元。。</w:t>
      </w:r>
    </w:p>
    <w:p>
      <w:pPr>
        <w:keepNext w:val="0"/>
        <w:keepLines w:val="0"/>
        <w:pageBreakBefore w:val="0"/>
        <w:widowControl/>
        <w:numPr>
          <w:ilvl w:val="0"/>
          <w:numId w:val="4"/>
        </w:numPr>
        <w:kinsoku/>
        <w:wordWrap/>
        <w:overflowPunct/>
        <w:topLinePunct w:val="0"/>
        <w:autoSpaceDE/>
        <w:autoSpaceDN/>
        <w:bidi w:val="0"/>
        <w:spacing w:line="580" w:lineRule="exact"/>
        <w:jc w:val="center"/>
        <w:rPr>
          <w:rFonts w:hint="default" w:ascii="Times New Roman" w:hAnsi="Times New Roman" w:eastAsia="方正黑体_GBK" w:cs="Times New Roman"/>
          <w:bCs/>
          <w:color w:val="auto"/>
          <w:sz w:val="32"/>
          <w:szCs w:val="32"/>
        </w:rPr>
      </w:pPr>
      <w:r>
        <w:rPr>
          <w:rFonts w:hint="default" w:ascii="Times New Roman" w:hAnsi="Times New Roman" w:eastAsia="方正小标宋_GBK" w:cs="Times New Roman"/>
          <w:bCs/>
          <w:color w:val="auto"/>
          <w:kern w:val="0"/>
          <w:sz w:val="32"/>
          <w:szCs w:val="32"/>
        </w:rPr>
        <w:t>全面风险管理情况</w:t>
      </w:r>
    </w:p>
    <w:p>
      <w:pPr>
        <w:tabs>
          <w:tab w:val="left" w:pos="0"/>
        </w:tabs>
        <w:adjustRightInd w:val="0"/>
        <w:snapToGrid w:val="0"/>
        <w:spacing w:line="6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一、高级管理层对风险的监控能力</w:t>
      </w:r>
    </w:p>
    <w:p>
      <w:pPr>
        <w:tabs>
          <w:tab w:val="left" w:pos="0"/>
        </w:tabs>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级管理层通过按季召开风险分析会议，全面分析我行信用风险、操作风险、流动性风险、声誉风险方面取得的成绩及存在的问题，并提出解决方案。按季开展信用风险、市场风险、流动性风险压力测试，扎实运用好全面风险管理技术。全年，我行未发生流动性风险、操作风险、声誉风险导致的不良影响及损失事件。</w:t>
      </w:r>
    </w:p>
    <w:p>
      <w:pPr>
        <w:tabs>
          <w:tab w:val="left" w:pos="0"/>
        </w:tabs>
        <w:adjustRightInd w:val="0"/>
        <w:snapToGrid w:val="0"/>
        <w:spacing w:line="60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二、风险管理政策和程序</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我行认真贯彻监管部门、发起行相关风险管理要求，严格落实各项风险管控措施，严防各类风险。一是在发起行的指导下及时修订并印发了《2024年度风险偏好陈述书》，设定风险偏好值进行动态监测。二是严格落实贷款“三查”制度，加强押品管理、授信管理、集中度管理，加大风险处置力度，严控信用风险。三是严格执行同业授信管理办法，加强流动性监测和头寸管理，切实防范流动性风险。四是通过开展各项风险排查、员工行为排查、强化责任追究和处理等方式防范操作风险。五是通过开展应急演练、强化员工培训、强化正面宣传及舆情监测等方式防范声誉风险。六是开展市场风险压力测试，强化市场环境分析，防范市场风</w:t>
      </w:r>
      <w:r>
        <w:rPr>
          <w:rFonts w:hint="default" w:ascii="Times New Roman" w:hAnsi="Times New Roman" w:eastAsia="方正仿宋_GBK" w:cs="Times New Roman"/>
          <w:sz w:val="32"/>
          <w:szCs w:val="32"/>
          <w:highlight w:val="none"/>
        </w:rPr>
        <w:t>险。七是制定了《石狮渝农商银行计算机病毒防治实施细则》，通过定期开展防病毒、系统应急演练等方式防范科技信息风险。2024年，我行全面</w:t>
      </w:r>
      <w:r>
        <w:rPr>
          <w:rFonts w:hint="default" w:ascii="Times New Roman" w:hAnsi="Times New Roman" w:eastAsia="方正仿宋_GBK" w:cs="Times New Roman"/>
          <w:sz w:val="32"/>
          <w:szCs w:val="32"/>
        </w:rPr>
        <w:t>风险管理措施得当，效果较好，未发生严重的风险事件。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2024年的风险偏好指标结果如下：</w:t>
      </w:r>
    </w:p>
    <w:tbl>
      <w:tblPr>
        <w:tblStyle w:val="10"/>
        <w:tblW w:w="5000" w:type="pct"/>
        <w:tblInd w:w="0" w:type="dxa"/>
        <w:tblLayout w:type="autofit"/>
        <w:tblCellMar>
          <w:top w:w="0" w:type="dxa"/>
          <w:left w:w="108" w:type="dxa"/>
          <w:bottom w:w="0" w:type="dxa"/>
          <w:right w:w="108" w:type="dxa"/>
        </w:tblCellMar>
      </w:tblPr>
      <w:tblGrid>
        <w:gridCol w:w="1261"/>
        <w:gridCol w:w="4646"/>
        <w:gridCol w:w="1355"/>
        <w:gridCol w:w="1260"/>
      </w:tblGrid>
      <w:tr>
        <w:tblPrEx>
          <w:tblCellMar>
            <w:top w:w="0" w:type="dxa"/>
            <w:left w:w="108" w:type="dxa"/>
            <w:bottom w:w="0" w:type="dxa"/>
            <w:right w:w="108" w:type="dxa"/>
          </w:tblCellMar>
        </w:tblPrEx>
        <w:trPr>
          <w:trHeight w:val="1140" w:hRule="atLeast"/>
        </w:trPr>
        <w:tc>
          <w:tcPr>
            <w:tcW w:w="740"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
                <w:color w:val="000000"/>
                <w:kern w:val="0"/>
                <w:sz w:val="24"/>
              </w:rPr>
              <w:t>类型</w:t>
            </w:r>
          </w:p>
        </w:tc>
        <w:tc>
          <w:tcPr>
            <w:tcW w:w="2726"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
                <w:color w:val="000000"/>
                <w:kern w:val="0"/>
                <w:sz w:val="24"/>
              </w:rPr>
              <w:t>指标名称</w:t>
            </w:r>
          </w:p>
        </w:tc>
        <w:tc>
          <w:tcPr>
            <w:tcW w:w="79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
                <w:color w:val="000000"/>
                <w:kern w:val="0"/>
                <w:sz w:val="24"/>
              </w:rPr>
              <w:t>目标</w:t>
            </w:r>
          </w:p>
        </w:tc>
        <w:tc>
          <w:tcPr>
            <w:tcW w:w="74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
                <w:color w:val="000000"/>
                <w:kern w:val="0"/>
                <w:sz w:val="24"/>
              </w:rPr>
              <w:t>实际值</w:t>
            </w:r>
          </w:p>
        </w:tc>
      </w:tr>
      <w:tr>
        <w:tblPrEx>
          <w:tblCellMar>
            <w:top w:w="0" w:type="dxa"/>
            <w:left w:w="108" w:type="dxa"/>
            <w:bottom w:w="0" w:type="dxa"/>
            <w:right w:w="108" w:type="dxa"/>
          </w:tblCellMar>
        </w:tblPrEx>
        <w:trPr>
          <w:trHeight w:val="675" w:hRule="atLeast"/>
        </w:trPr>
        <w:tc>
          <w:tcPr>
            <w:tcW w:w="74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Cs/>
                <w:color w:val="000000"/>
                <w:kern w:val="0"/>
                <w:szCs w:val="21"/>
              </w:rPr>
            </w:pPr>
            <w:r>
              <w:rPr>
                <w:rFonts w:hint="default" w:ascii="Times New Roman" w:hAnsi="Times New Roman" w:eastAsia="方正仿宋_GBK" w:cs="Times New Roman"/>
                <w:bCs/>
                <w:color w:val="000000"/>
                <w:kern w:val="0"/>
                <w:szCs w:val="21"/>
              </w:rPr>
              <w:t>总体风险偏好</w:t>
            </w: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资本充足率</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≥9.52%</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81.94%</w:t>
            </w:r>
          </w:p>
        </w:tc>
      </w:tr>
      <w:tr>
        <w:tblPrEx>
          <w:tblCellMar>
            <w:top w:w="0" w:type="dxa"/>
            <w:left w:w="108" w:type="dxa"/>
            <w:bottom w:w="0" w:type="dxa"/>
            <w:right w:w="108" w:type="dxa"/>
          </w:tblCellMar>
        </w:tblPrEx>
        <w:trPr>
          <w:trHeight w:val="675"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核心一级资本充足率</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≥8.0%</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78.89%</w:t>
            </w:r>
          </w:p>
        </w:tc>
      </w:tr>
      <w:tr>
        <w:tblPrEx>
          <w:tblCellMar>
            <w:top w:w="0" w:type="dxa"/>
            <w:left w:w="108" w:type="dxa"/>
            <w:bottom w:w="0" w:type="dxa"/>
            <w:right w:w="108" w:type="dxa"/>
          </w:tblCellMar>
        </w:tblPrEx>
        <w:trPr>
          <w:trHeight w:val="525"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杠杆率</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≥4.5%</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48.39%</w:t>
            </w:r>
          </w:p>
        </w:tc>
      </w:tr>
      <w:tr>
        <w:tblPrEx>
          <w:tblCellMar>
            <w:top w:w="0" w:type="dxa"/>
            <w:left w:w="108" w:type="dxa"/>
            <w:bottom w:w="0" w:type="dxa"/>
            <w:right w:w="108" w:type="dxa"/>
          </w:tblCellMar>
        </w:tblPrEx>
        <w:trPr>
          <w:trHeight w:val="495"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总资产收益率（ROA）</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≥0.60%</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0.49%</w:t>
            </w:r>
          </w:p>
        </w:tc>
      </w:tr>
      <w:tr>
        <w:tblPrEx>
          <w:tblCellMar>
            <w:top w:w="0" w:type="dxa"/>
            <w:left w:w="108" w:type="dxa"/>
            <w:bottom w:w="0" w:type="dxa"/>
            <w:right w:w="108" w:type="dxa"/>
          </w:tblCellMar>
        </w:tblPrEx>
        <w:trPr>
          <w:trHeight w:val="555"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不良贷款率</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≤1.5%</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0.34%</w:t>
            </w:r>
          </w:p>
        </w:tc>
      </w:tr>
      <w:tr>
        <w:tblPrEx>
          <w:tblCellMar>
            <w:top w:w="0" w:type="dxa"/>
            <w:left w:w="108" w:type="dxa"/>
            <w:bottom w:w="0" w:type="dxa"/>
            <w:right w:w="108" w:type="dxa"/>
          </w:tblCellMar>
        </w:tblPrEx>
        <w:trPr>
          <w:trHeight w:val="540" w:hRule="atLeast"/>
        </w:trPr>
        <w:tc>
          <w:tcPr>
            <w:tcW w:w="74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Cs/>
                <w:color w:val="000000"/>
                <w:kern w:val="0"/>
                <w:szCs w:val="21"/>
              </w:rPr>
            </w:pPr>
            <w:r>
              <w:rPr>
                <w:rFonts w:hint="default" w:ascii="Times New Roman" w:hAnsi="Times New Roman" w:eastAsia="方正仿宋_GBK" w:cs="Times New Roman"/>
                <w:bCs/>
                <w:color w:val="000000"/>
                <w:kern w:val="0"/>
                <w:szCs w:val="21"/>
              </w:rPr>
              <w:t>信用风险偏好</w:t>
            </w: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逾期90天以上贷款与不良贷款的比例</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≤100%</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100%</w:t>
            </w:r>
          </w:p>
        </w:tc>
      </w:tr>
      <w:tr>
        <w:tblPrEx>
          <w:tblCellMar>
            <w:top w:w="0" w:type="dxa"/>
            <w:left w:w="108" w:type="dxa"/>
            <w:bottom w:w="0" w:type="dxa"/>
            <w:right w:w="108" w:type="dxa"/>
          </w:tblCellMar>
        </w:tblPrEx>
        <w:trPr>
          <w:trHeight w:val="345"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逾期贷款率</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0.34%</w:t>
            </w:r>
          </w:p>
        </w:tc>
      </w:tr>
      <w:tr>
        <w:tblPrEx>
          <w:tblCellMar>
            <w:top w:w="0" w:type="dxa"/>
            <w:left w:w="108" w:type="dxa"/>
            <w:bottom w:w="0" w:type="dxa"/>
            <w:right w:w="108" w:type="dxa"/>
          </w:tblCellMar>
        </w:tblPrEx>
        <w:trPr>
          <w:trHeight w:val="540"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非同业单一客户贷款集中度</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≤9.5%</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0.46%</w:t>
            </w:r>
          </w:p>
        </w:tc>
      </w:tr>
      <w:tr>
        <w:tblPrEx>
          <w:tblCellMar>
            <w:top w:w="0" w:type="dxa"/>
            <w:left w:w="108" w:type="dxa"/>
            <w:bottom w:w="0" w:type="dxa"/>
            <w:right w:w="108" w:type="dxa"/>
          </w:tblCellMar>
        </w:tblPrEx>
        <w:trPr>
          <w:trHeight w:val="810"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同业集团客户风险暴露集中度</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≤24%</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810"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单一集团关联客户集中度</w:t>
            </w:r>
          </w:p>
        </w:tc>
        <w:tc>
          <w:tcPr>
            <w:tcW w:w="79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≤14%</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810" w:hRule="atLeast"/>
        </w:trPr>
        <w:tc>
          <w:tcPr>
            <w:tcW w:w="74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互联网贷款不良率</w:t>
            </w:r>
          </w:p>
        </w:tc>
        <w:tc>
          <w:tcPr>
            <w:tcW w:w="795" w:type="pct"/>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≤1.5%</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810" w:hRule="atLeast"/>
        </w:trPr>
        <w:tc>
          <w:tcPr>
            <w:tcW w:w="740" w:type="pct"/>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Cs/>
                <w:color w:val="000000"/>
                <w:kern w:val="0"/>
                <w:szCs w:val="21"/>
              </w:rPr>
            </w:pPr>
            <w:r>
              <w:rPr>
                <w:rFonts w:hint="default" w:ascii="Times New Roman" w:hAnsi="Times New Roman" w:eastAsia="方正仿宋_GBK" w:cs="Times New Roman"/>
                <w:bCs/>
                <w:color w:val="000000"/>
                <w:kern w:val="0"/>
                <w:szCs w:val="21"/>
              </w:rPr>
              <w:t>操作风险偏好</w:t>
            </w:r>
          </w:p>
        </w:tc>
        <w:tc>
          <w:tcPr>
            <w:tcW w:w="272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操作风险损失率</w:t>
            </w:r>
          </w:p>
        </w:tc>
        <w:tc>
          <w:tcPr>
            <w:tcW w:w="7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30" w:hRule="atLeast"/>
        </w:trPr>
        <w:tc>
          <w:tcPr>
            <w:tcW w:w="740" w:type="pct"/>
            <w:vMerge w:val="continue"/>
            <w:tcBorders>
              <w:top w:val="nil"/>
              <w:left w:val="single" w:color="auto" w:sz="8" w:space="0"/>
              <w:bottom w:val="single" w:color="000000"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Cs/>
                <w:color w:val="000000"/>
                <w:kern w:val="0"/>
                <w:szCs w:val="21"/>
              </w:rPr>
            </w:pPr>
          </w:p>
        </w:tc>
        <w:tc>
          <w:tcPr>
            <w:tcW w:w="272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重要业务非计划中断次数</w:t>
            </w:r>
          </w:p>
        </w:tc>
        <w:tc>
          <w:tcPr>
            <w:tcW w:w="7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330" w:hRule="atLeast"/>
        </w:trPr>
        <w:tc>
          <w:tcPr>
            <w:tcW w:w="740" w:type="pct"/>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bCs/>
                <w:color w:val="000000"/>
                <w:kern w:val="0"/>
                <w:szCs w:val="21"/>
              </w:rPr>
            </w:pPr>
            <w:r>
              <w:rPr>
                <w:rFonts w:hint="default" w:ascii="Times New Roman" w:hAnsi="Times New Roman" w:eastAsia="方正仿宋_GBK" w:cs="Times New Roman"/>
                <w:bCs/>
                <w:color w:val="000000"/>
                <w:kern w:val="0"/>
                <w:szCs w:val="21"/>
              </w:rPr>
              <w:t>流动性风险偏好</w:t>
            </w:r>
          </w:p>
        </w:tc>
        <w:tc>
          <w:tcPr>
            <w:tcW w:w="272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流动性比例</w:t>
            </w:r>
          </w:p>
        </w:tc>
        <w:tc>
          <w:tcPr>
            <w:tcW w:w="7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≥30%</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147.49%</w:t>
            </w:r>
          </w:p>
        </w:tc>
      </w:tr>
      <w:tr>
        <w:tblPrEx>
          <w:tblCellMar>
            <w:top w:w="0" w:type="dxa"/>
            <w:left w:w="108" w:type="dxa"/>
            <w:bottom w:w="0" w:type="dxa"/>
            <w:right w:w="108" w:type="dxa"/>
          </w:tblCellMar>
        </w:tblPrEx>
        <w:trPr>
          <w:trHeight w:val="330" w:hRule="atLeast"/>
        </w:trPr>
        <w:tc>
          <w:tcPr>
            <w:tcW w:w="740" w:type="pct"/>
            <w:vMerge w:val="continue"/>
            <w:tcBorders>
              <w:top w:val="nil"/>
              <w:left w:val="single" w:color="auto" w:sz="8" w:space="0"/>
              <w:bottom w:val="single" w:color="000000"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b/>
                <w:bCs/>
                <w:color w:val="000000"/>
                <w:kern w:val="0"/>
                <w:szCs w:val="21"/>
              </w:rPr>
            </w:pPr>
          </w:p>
        </w:tc>
        <w:tc>
          <w:tcPr>
            <w:tcW w:w="272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流动性匹配率</w:t>
            </w:r>
          </w:p>
        </w:tc>
        <w:tc>
          <w:tcPr>
            <w:tcW w:w="79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华文中宋" w:cs="Times New Roman"/>
                <w:color w:val="000000"/>
                <w:kern w:val="0"/>
                <w:szCs w:val="21"/>
              </w:rPr>
            </w:pPr>
            <w:r>
              <w:rPr>
                <w:rFonts w:hint="default" w:ascii="Times New Roman" w:hAnsi="Times New Roman" w:eastAsia="华文中宋" w:cs="Times New Roman"/>
                <w:color w:val="000000"/>
                <w:kern w:val="0"/>
                <w:szCs w:val="21"/>
              </w:rPr>
              <w:t>≥105%</w:t>
            </w:r>
          </w:p>
        </w:tc>
        <w:tc>
          <w:tcPr>
            <w:tcW w:w="74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65.17%</w:t>
            </w:r>
          </w:p>
        </w:tc>
      </w:tr>
    </w:tbl>
    <w:p>
      <w:pPr>
        <w:ind w:firstLine="640" w:firstLineChars="200"/>
        <w:rPr>
          <w:rFonts w:hint="default" w:ascii="Times New Roman" w:hAnsi="Times New Roman" w:eastAsia="方正仿宋_GBK" w:cs="Times New Roman"/>
          <w:sz w:val="32"/>
          <w:szCs w:val="32"/>
          <w:highlight w:val="yellow"/>
        </w:rPr>
      </w:pPr>
    </w:p>
    <w:p>
      <w:pPr>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rPr>
        <w:t>三、风险计量</w:t>
      </w:r>
      <w:r>
        <w:rPr>
          <w:rFonts w:hint="default" w:ascii="Times New Roman" w:hAnsi="Times New Roman" w:eastAsia="方正黑体_GBK" w:cs="Times New Roman"/>
          <w:sz w:val="32"/>
          <w:szCs w:val="32"/>
          <w:highlight w:val="none"/>
        </w:rPr>
        <w:t>、监测和管理信息系统</w:t>
      </w:r>
    </w:p>
    <w:p>
      <w:p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highlight w:val="none"/>
        </w:rPr>
        <w:t>依托发起行的信贷与投资管</w:t>
      </w:r>
      <w:r>
        <w:rPr>
          <w:rFonts w:hint="default" w:ascii="Times New Roman" w:hAnsi="Times New Roman" w:eastAsia="方正仿宋_GBK" w:cs="Times New Roman"/>
          <w:bCs/>
          <w:sz w:val="32"/>
          <w:szCs w:val="32"/>
        </w:rPr>
        <w:t>理信息系统、综合业务系统、事后监督系统、审计预警系统、流动性风险管理系统、合规系统、综合报表平台等系统，能有效实现对信用风险、流动性风险、操作风险、市场风险等的识别、计量、评估、监测，根据监测数据按季开展流动性风险、信用风险、市场风险压力测试，有效控制各类风险。</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四、内部控制和全面审计情况</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小标宋_GBK" w:cs="Times New Roman"/>
          <w:bCs/>
          <w:kern w:val="0"/>
          <w:sz w:val="32"/>
          <w:szCs w:val="32"/>
        </w:rPr>
      </w:pPr>
      <w:r>
        <w:rPr>
          <w:rFonts w:hint="default" w:ascii="Times New Roman" w:hAnsi="Times New Roman" w:eastAsia="方正仿宋_GBK" w:cs="Times New Roman"/>
          <w:bCs/>
          <w:sz w:val="32"/>
          <w:szCs w:val="32"/>
        </w:rPr>
        <w:t>一是成立内控提升检查领导小组，行长亲自部署安排，通过细化方案、建立台账、强化问责等举措加强制度执行，提升内部治理水平。二是逢会必强调，对日常工作时时提醒，对问题疑惑实时解答，畅通渠道促进工作交流。三是层层落实，全行</w:t>
      </w:r>
      <w:r>
        <w:rPr>
          <w:rFonts w:hint="default" w:ascii="Times New Roman" w:hAnsi="Times New Roman" w:eastAsia="方正仿宋_GBK" w:cs="Times New Roman"/>
          <w:bCs/>
          <w:sz w:val="32"/>
          <w:szCs w:val="32"/>
          <w:lang w:eastAsia="zh-CN"/>
        </w:rPr>
        <w:t>各部门</w:t>
      </w:r>
      <w:r>
        <w:rPr>
          <w:rFonts w:hint="default" w:ascii="Times New Roman" w:hAnsi="Times New Roman" w:eastAsia="方正仿宋_GBK" w:cs="Times New Roman"/>
          <w:bCs/>
          <w:sz w:val="32"/>
          <w:szCs w:val="32"/>
        </w:rPr>
        <w:t>自行开展全面自查，条线部门进行“梳理”工作，审计稽核岗进行再监督。2024年以来，我行各部门自查共发现问题23个，完成整改23个，整改率100%。四是将整治要点与日常检查、专项检查相结合，持续跟进和整治，坚决做到业务发展与内控提升并重。</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rPr>
          <w:rFonts w:hint="default" w:ascii="Times New Roman" w:hAnsi="Times New Roman" w:cs="Times New Roman"/>
        </w:rPr>
      </w:pPr>
      <w:r>
        <w:rPr>
          <w:rFonts w:hint="default" w:ascii="Times New Roman" w:hAnsi="Times New Roman" w:eastAsia="方正小标宋_GBK" w:cs="Times New Roman"/>
          <w:bCs/>
          <w:kern w:val="0"/>
          <w:sz w:val="32"/>
          <w:szCs w:val="32"/>
        </w:rPr>
        <w:t> 消费者权益保护</w:t>
      </w:r>
      <w:r>
        <w:rPr>
          <w:rFonts w:hint="default" w:ascii="Times New Roman" w:hAnsi="Times New Roman" w:eastAsia="方正小标宋_GBK" w:cs="Times New Roman"/>
          <w:bCs/>
          <w:kern w:val="0"/>
          <w:sz w:val="32"/>
          <w:szCs w:val="32"/>
          <w:lang w:eastAsia="zh-CN"/>
        </w:rPr>
        <w:t>情况</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一、消费者投诉情况</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本年度未收到各类投诉，投诉总量为零。</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二、消费者权益保护重大信息</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本年度无消费者权益保护重大信息。</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rPr>
          <w:rFonts w:hint="default" w:ascii="Times New Roman" w:hAnsi="Times New Roman" w:cs="Times New Roman"/>
        </w:rPr>
      </w:pPr>
      <w:r>
        <w:rPr>
          <w:rFonts w:hint="default" w:ascii="Times New Roman" w:hAnsi="Times New Roman" w:eastAsia="方正小标宋_GBK" w:cs="Times New Roman"/>
          <w:bCs/>
          <w:color w:val="auto"/>
          <w:kern w:val="0"/>
          <w:sz w:val="32"/>
          <w:szCs w:val="32"/>
          <w:highlight w:val="none"/>
        </w:rPr>
        <w:t> 其他重要事项</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color w:val="auto"/>
          <w:kern w:val="0"/>
          <w:sz w:val="32"/>
          <w:szCs w:val="32"/>
          <w:highlight w:val="none"/>
        </w:rPr>
        <w:t>一、报告期内，无重大诉讼、仲裁事项。</w:t>
      </w:r>
      <w:r>
        <w:rPr>
          <w:rFonts w:hint="default" w:ascii="Times New Roman" w:hAnsi="Times New Roman" w:eastAsia="方正仿宋_GBK" w:cs="Times New Roman"/>
          <w:sz w:val="32"/>
          <w:szCs w:val="32"/>
        </w:rPr>
        <w:t>2024年，清收不良贷款，涉及不良贷款诉讼案件2件，标的金额106.25万元，均已判我行胜诉，且强制执行。</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二、报告期内，未发生重大案件、重大差错等情况。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三、报告期内发生的关联交易已如实披露。</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四、报告期内本公司各项业务合同履行情况正常，无重大合同纠纷发生。</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cs="Times New Roman"/>
          <w:sz w:val="32"/>
          <w:szCs w:val="32"/>
        </w:rPr>
      </w:pPr>
      <w:r>
        <w:rPr>
          <w:rFonts w:hint="default" w:ascii="Times New Roman" w:hAnsi="Times New Roman" w:eastAsia="方正仿宋_GBK" w:cs="Times New Roman"/>
          <w:color w:val="auto"/>
          <w:kern w:val="0"/>
          <w:sz w:val="32"/>
          <w:szCs w:val="32"/>
          <w:highlight w:val="none"/>
        </w:rPr>
        <w:t>报告期内，除上述信息外，本公司无其他有必要让公众了解的重要信息。</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第十</w:t>
      </w:r>
      <w:r>
        <w:rPr>
          <w:rFonts w:hint="default" w:ascii="Times New Roman" w:hAnsi="Times New Roman" w:eastAsia="方正小标宋_GBK" w:cs="Times New Roman"/>
          <w:bCs/>
          <w:color w:val="auto"/>
          <w:kern w:val="0"/>
          <w:sz w:val="32"/>
          <w:szCs w:val="32"/>
          <w:highlight w:val="none"/>
          <w:lang w:eastAsia="zh-CN"/>
        </w:rPr>
        <w:t>一</w:t>
      </w:r>
      <w:r>
        <w:rPr>
          <w:rFonts w:hint="default" w:ascii="Times New Roman" w:hAnsi="Times New Roman" w:eastAsia="方正小标宋_GBK" w:cs="Times New Roman"/>
          <w:bCs/>
          <w:color w:val="auto"/>
          <w:kern w:val="0"/>
          <w:sz w:val="32"/>
          <w:szCs w:val="32"/>
          <w:highlight w:val="none"/>
        </w:rPr>
        <w:t>节  财务报告</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一、审计报告</w:t>
      </w:r>
      <w:r>
        <w:rPr>
          <w:rFonts w:hint="default" w:ascii="Times New Roman" w:hAnsi="Times New Roman" w:eastAsia="方正黑体_GBK" w:cs="Times New Roman"/>
          <w:color w:val="auto"/>
          <w:kern w:val="0"/>
          <w:sz w:val="32"/>
          <w:szCs w:val="32"/>
          <w:highlight w:val="none"/>
          <w:lang w:eastAsia="zh-CN"/>
        </w:rPr>
        <w:t>及财务报表</w:t>
      </w:r>
      <w:r>
        <w:rPr>
          <w:rFonts w:hint="default" w:ascii="Times New Roman" w:hAnsi="Times New Roman" w:eastAsia="方正仿宋_GBK" w:cs="Times New Roman"/>
          <w:color w:val="auto"/>
          <w:kern w:val="0"/>
          <w:sz w:val="32"/>
          <w:szCs w:val="32"/>
          <w:highlight w:val="none"/>
        </w:rPr>
        <w:t>（见附件）</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eastAsia="zh-CN"/>
        </w:rPr>
        <w:t>二</w:t>
      </w:r>
      <w:r>
        <w:rPr>
          <w:rFonts w:hint="default" w:ascii="Times New Roman" w:hAnsi="Times New Roman" w:eastAsia="方正黑体_GBK" w:cs="Times New Roman"/>
          <w:color w:val="auto"/>
          <w:kern w:val="0"/>
          <w:sz w:val="32"/>
          <w:szCs w:val="32"/>
          <w:highlight w:val="none"/>
        </w:rPr>
        <w:t>、公司主要会计政策、会计估计和会计差错</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（一）会计年度：本公司会计年度自公历1月1日起至12月31日止。</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（二）记账本位币：本公司的记账本位币为人民币。</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（三）主要会计政策、会计估计和核算方法：</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（1）《企业会计准则》及其相关规定；</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（2）主发起行印发的《关于做好20</w:t>
      </w:r>
      <w:r>
        <w:rPr>
          <w:rFonts w:hint="default" w:ascii="Times New Roman" w:hAnsi="Times New Roman" w:eastAsia="方正仿宋_GBK" w:cs="Times New Roman"/>
          <w:color w:val="auto"/>
          <w:kern w:val="0"/>
          <w:sz w:val="32"/>
          <w:szCs w:val="32"/>
          <w:highlight w:val="none"/>
          <w:lang w:val="en-US" w:eastAsia="zh-CN"/>
        </w:rPr>
        <w:t>24</w:t>
      </w:r>
      <w:r>
        <w:rPr>
          <w:rFonts w:hint="default" w:ascii="Times New Roman" w:hAnsi="Times New Roman" w:eastAsia="方正仿宋_GBK" w:cs="Times New Roman"/>
          <w:color w:val="auto"/>
          <w:kern w:val="0"/>
          <w:sz w:val="32"/>
          <w:szCs w:val="32"/>
          <w:highlight w:val="none"/>
        </w:rPr>
        <w:t>年年终决算工作的通知》；</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石狮</w:t>
      </w:r>
      <w:r>
        <w:rPr>
          <w:rFonts w:hint="default" w:ascii="Times New Roman" w:hAnsi="Times New Roman" w:eastAsia="方正仿宋_GBK" w:cs="Times New Roman"/>
          <w:color w:val="auto"/>
          <w:kern w:val="0"/>
          <w:sz w:val="32"/>
          <w:szCs w:val="32"/>
        </w:rPr>
        <w:t>渝农商村镇银行</w:t>
      </w:r>
      <w:bookmarkStart w:id="2" w:name="OLE_LINK2"/>
      <w:r>
        <w:rPr>
          <w:rFonts w:hint="default" w:ascii="Times New Roman" w:hAnsi="Times New Roman" w:eastAsia="方正仿宋_GBK" w:cs="Times New Roman"/>
          <w:color w:val="auto"/>
          <w:kern w:val="0"/>
          <w:sz w:val="32"/>
          <w:szCs w:val="32"/>
        </w:rPr>
        <w:t>会计基本制度</w:t>
      </w:r>
      <w:bookmarkEnd w:id="2"/>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eastAsia="zh-CN"/>
        </w:rPr>
        <w:t>三</w:t>
      </w:r>
      <w:r>
        <w:rPr>
          <w:rFonts w:hint="default" w:ascii="Times New Roman" w:hAnsi="Times New Roman" w:eastAsia="方正黑体_GBK" w:cs="Times New Roman"/>
          <w:color w:val="auto"/>
          <w:kern w:val="0"/>
          <w:sz w:val="32"/>
          <w:szCs w:val="32"/>
        </w:rPr>
        <w:t>、报告期内本公司没有重大会计差错更正。</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val="en-US" w:eastAsia="zh-CN"/>
        </w:rPr>
        <w:t>附件：2024年审计报告</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ind w:right="520" w:firstLine="3360" w:firstLineChars="1600"/>
        <w:jc w:val="both"/>
        <w:rPr>
          <w:rFonts w:hint="default" w:ascii="Times New Roman" w:hAnsi="Times New Roman" w:eastAsia="方正仿宋_GBK" w:cs="Times New Roman"/>
          <w:color w:val="auto"/>
        </w:rPr>
      </w:pPr>
    </w:p>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28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1F343"/>
    <w:multiLevelType w:val="singleLevel"/>
    <w:tmpl w:val="88F1F343"/>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8"/>
      <w:numFmt w:val="japaneseCounting"/>
      <w:lvlText w:val="第%1节"/>
      <w:lvlJc w:val="left"/>
      <w:pPr>
        <w:tabs>
          <w:tab w:val="left" w:pos="1080"/>
        </w:tabs>
        <w:ind w:left="1080" w:hanging="1080"/>
      </w:pPr>
      <w:rPr>
        <w:rFonts w:hint="eastAsia" w:ascii="方正小标宋_GBK" w:hAnsi="方正小标宋_GBK" w:eastAsia="方正小标宋_GBK" w:cs="方正小标宋_GBK"/>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6B362F"/>
    <w:multiLevelType w:val="singleLevel"/>
    <w:tmpl w:val="5E6B362F"/>
    <w:lvl w:ilvl="0" w:tentative="0">
      <w:start w:val="2"/>
      <w:numFmt w:val="chineseCounting"/>
      <w:suff w:val="space"/>
      <w:lvlText w:val="第%1节"/>
      <w:lvlJc w:val="left"/>
    </w:lvl>
  </w:abstractNum>
  <w:abstractNum w:abstractNumId="3">
    <w:nsid w:val="5E6F2ACF"/>
    <w:multiLevelType w:val="singleLevel"/>
    <w:tmpl w:val="5E6F2ACF"/>
    <w:lvl w:ilvl="0" w:tentative="0">
      <w:start w:val="1"/>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jYxYTQ3YmYzNTFiZjA1MjI3ZjRiNTgzM2FhMjkifQ=="/>
  </w:docVars>
  <w:rsids>
    <w:rsidRoot w:val="00172A27"/>
    <w:rsid w:val="00036B6E"/>
    <w:rsid w:val="00055DC1"/>
    <w:rsid w:val="000753E2"/>
    <w:rsid w:val="000A7336"/>
    <w:rsid w:val="000D6A05"/>
    <w:rsid w:val="000D6A2E"/>
    <w:rsid w:val="000D7C39"/>
    <w:rsid w:val="000F39A3"/>
    <w:rsid w:val="001065D3"/>
    <w:rsid w:val="00111AB6"/>
    <w:rsid w:val="00117F48"/>
    <w:rsid w:val="001269F1"/>
    <w:rsid w:val="00171429"/>
    <w:rsid w:val="00172A27"/>
    <w:rsid w:val="00180123"/>
    <w:rsid w:val="001A58CA"/>
    <w:rsid w:val="001E0AC2"/>
    <w:rsid w:val="001F63EB"/>
    <w:rsid w:val="002122AF"/>
    <w:rsid w:val="00251906"/>
    <w:rsid w:val="00272CC2"/>
    <w:rsid w:val="0029312E"/>
    <w:rsid w:val="002C1BF9"/>
    <w:rsid w:val="002E386F"/>
    <w:rsid w:val="002F353C"/>
    <w:rsid w:val="003371C6"/>
    <w:rsid w:val="00342E31"/>
    <w:rsid w:val="00354570"/>
    <w:rsid w:val="0037385A"/>
    <w:rsid w:val="00387254"/>
    <w:rsid w:val="003A292A"/>
    <w:rsid w:val="003A6DAC"/>
    <w:rsid w:val="003C3B29"/>
    <w:rsid w:val="0042076E"/>
    <w:rsid w:val="00444884"/>
    <w:rsid w:val="004A1168"/>
    <w:rsid w:val="004A2119"/>
    <w:rsid w:val="004A7268"/>
    <w:rsid w:val="004C65E1"/>
    <w:rsid w:val="004D5F4F"/>
    <w:rsid w:val="00557C84"/>
    <w:rsid w:val="00566645"/>
    <w:rsid w:val="00585878"/>
    <w:rsid w:val="005F620E"/>
    <w:rsid w:val="0060520D"/>
    <w:rsid w:val="00613CF8"/>
    <w:rsid w:val="00636404"/>
    <w:rsid w:val="006512C9"/>
    <w:rsid w:val="00655750"/>
    <w:rsid w:val="00670928"/>
    <w:rsid w:val="00680F65"/>
    <w:rsid w:val="006A02D4"/>
    <w:rsid w:val="006B1076"/>
    <w:rsid w:val="006C3F4A"/>
    <w:rsid w:val="006E1CCA"/>
    <w:rsid w:val="007322F6"/>
    <w:rsid w:val="00744D95"/>
    <w:rsid w:val="00746818"/>
    <w:rsid w:val="00747C4D"/>
    <w:rsid w:val="00777B7F"/>
    <w:rsid w:val="007B3DF3"/>
    <w:rsid w:val="00832D16"/>
    <w:rsid w:val="00871411"/>
    <w:rsid w:val="008830FD"/>
    <w:rsid w:val="008B67D0"/>
    <w:rsid w:val="008F0449"/>
    <w:rsid w:val="00945FC5"/>
    <w:rsid w:val="00A13316"/>
    <w:rsid w:val="00A25FD7"/>
    <w:rsid w:val="00A34C8F"/>
    <w:rsid w:val="00A47A1A"/>
    <w:rsid w:val="00A84B85"/>
    <w:rsid w:val="00AA483B"/>
    <w:rsid w:val="00AC6DDC"/>
    <w:rsid w:val="00AF0494"/>
    <w:rsid w:val="00AF4400"/>
    <w:rsid w:val="00B22018"/>
    <w:rsid w:val="00B27B07"/>
    <w:rsid w:val="00B323A5"/>
    <w:rsid w:val="00B37121"/>
    <w:rsid w:val="00B566A2"/>
    <w:rsid w:val="00B5715F"/>
    <w:rsid w:val="00B84862"/>
    <w:rsid w:val="00BC6788"/>
    <w:rsid w:val="00C2342D"/>
    <w:rsid w:val="00C418B6"/>
    <w:rsid w:val="00C432F9"/>
    <w:rsid w:val="00C47D1A"/>
    <w:rsid w:val="00C52565"/>
    <w:rsid w:val="00C74893"/>
    <w:rsid w:val="00C923FA"/>
    <w:rsid w:val="00CE132F"/>
    <w:rsid w:val="00D32F39"/>
    <w:rsid w:val="00D47347"/>
    <w:rsid w:val="00D52D44"/>
    <w:rsid w:val="00D64FF5"/>
    <w:rsid w:val="00D80049"/>
    <w:rsid w:val="00DE2641"/>
    <w:rsid w:val="00E00262"/>
    <w:rsid w:val="00E22290"/>
    <w:rsid w:val="00E34171"/>
    <w:rsid w:val="00E37812"/>
    <w:rsid w:val="00E80B3D"/>
    <w:rsid w:val="00E8157B"/>
    <w:rsid w:val="00E914DA"/>
    <w:rsid w:val="00EB008C"/>
    <w:rsid w:val="00EB4473"/>
    <w:rsid w:val="00EB7E76"/>
    <w:rsid w:val="00ED34A4"/>
    <w:rsid w:val="00EF2D07"/>
    <w:rsid w:val="00F10BBA"/>
    <w:rsid w:val="00F15BD1"/>
    <w:rsid w:val="00F40883"/>
    <w:rsid w:val="00F52523"/>
    <w:rsid w:val="00F6433C"/>
    <w:rsid w:val="00F807FD"/>
    <w:rsid w:val="00F9473A"/>
    <w:rsid w:val="00FA1DB3"/>
    <w:rsid w:val="00FE6C74"/>
    <w:rsid w:val="00FE7C5C"/>
    <w:rsid w:val="00FF16A5"/>
    <w:rsid w:val="02F32B3B"/>
    <w:rsid w:val="03495D9D"/>
    <w:rsid w:val="04B730E4"/>
    <w:rsid w:val="05655941"/>
    <w:rsid w:val="06524D5A"/>
    <w:rsid w:val="0A4E2424"/>
    <w:rsid w:val="0A520C93"/>
    <w:rsid w:val="0A5D67D7"/>
    <w:rsid w:val="0A894589"/>
    <w:rsid w:val="0CEA5D1A"/>
    <w:rsid w:val="0D741C6E"/>
    <w:rsid w:val="0E93627C"/>
    <w:rsid w:val="0F0025E7"/>
    <w:rsid w:val="0F590C4E"/>
    <w:rsid w:val="0FFE48EE"/>
    <w:rsid w:val="11CF0D05"/>
    <w:rsid w:val="14E17A2E"/>
    <w:rsid w:val="17F10F9E"/>
    <w:rsid w:val="196B4EAA"/>
    <w:rsid w:val="1ACF57E4"/>
    <w:rsid w:val="1B1404C6"/>
    <w:rsid w:val="1C0A0AAD"/>
    <w:rsid w:val="1C12200A"/>
    <w:rsid w:val="1D651070"/>
    <w:rsid w:val="1D9A49D2"/>
    <w:rsid w:val="1E5F030B"/>
    <w:rsid w:val="1EDF338A"/>
    <w:rsid w:val="2162352F"/>
    <w:rsid w:val="21B46A0C"/>
    <w:rsid w:val="22380D4B"/>
    <w:rsid w:val="22693AF6"/>
    <w:rsid w:val="22AF0F18"/>
    <w:rsid w:val="23F94F6E"/>
    <w:rsid w:val="24413F5B"/>
    <w:rsid w:val="25330CB1"/>
    <w:rsid w:val="25A83195"/>
    <w:rsid w:val="28782C5E"/>
    <w:rsid w:val="28F057B1"/>
    <w:rsid w:val="2A854FE3"/>
    <w:rsid w:val="2C2562FF"/>
    <w:rsid w:val="2DC37966"/>
    <w:rsid w:val="2E4A0872"/>
    <w:rsid w:val="2FC90F9F"/>
    <w:rsid w:val="32685BE4"/>
    <w:rsid w:val="33EA5180"/>
    <w:rsid w:val="34406AF2"/>
    <w:rsid w:val="37746F3A"/>
    <w:rsid w:val="38B0710B"/>
    <w:rsid w:val="3907339B"/>
    <w:rsid w:val="39321A67"/>
    <w:rsid w:val="39D8646A"/>
    <w:rsid w:val="3AC464AD"/>
    <w:rsid w:val="3B6328BA"/>
    <w:rsid w:val="3B7F216D"/>
    <w:rsid w:val="3C490C0B"/>
    <w:rsid w:val="3EDD53AF"/>
    <w:rsid w:val="3F0552C3"/>
    <w:rsid w:val="41126165"/>
    <w:rsid w:val="41431774"/>
    <w:rsid w:val="422A6791"/>
    <w:rsid w:val="423B559F"/>
    <w:rsid w:val="44115869"/>
    <w:rsid w:val="452E7317"/>
    <w:rsid w:val="47862C5A"/>
    <w:rsid w:val="479E7C46"/>
    <w:rsid w:val="47BB1F96"/>
    <w:rsid w:val="480B5A76"/>
    <w:rsid w:val="48D15F8D"/>
    <w:rsid w:val="48D270E9"/>
    <w:rsid w:val="49044F19"/>
    <w:rsid w:val="4A670745"/>
    <w:rsid w:val="4AA25F7A"/>
    <w:rsid w:val="4B90738A"/>
    <w:rsid w:val="4DF95D9B"/>
    <w:rsid w:val="4E1014A6"/>
    <w:rsid w:val="4E880CD7"/>
    <w:rsid w:val="51472EA8"/>
    <w:rsid w:val="52BE1A4F"/>
    <w:rsid w:val="53A3328F"/>
    <w:rsid w:val="54FC5842"/>
    <w:rsid w:val="553779EB"/>
    <w:rsid w:val="55EF1623"/>
    <w:rsid w:val="56127A6C"/>
    <w:rsid w:val="56664895"/>
    <w:rsid w:val="56BD1262"/>
    <w:rsid w:val="577659E4"/>
    <w:rsid w:val="57954E4E"/>
    <w:rsid w:val="58327FF8"/>
    <w:rsid w:val="59DC6ADB"/>
    <w:rsid w:val="5C2E3DAB"/>
    <w:rsid w:val="5EA569B2"/>
    <w:rsid w:val="5EC21F24"/>
    <w:rsid w:val="5ED04262"/>
    <w:rsid w:val="5F6C0D90"/>
    <w:rsid w:val="60EF268B"/>
    <w:rsid w:val="61DA617F"/>
    <w:rsid w:val="61EA10ED"/>
    <w:rsid w:val="64BD30A1"/>
    <w:rsid w:val="67AA2BFC"/>
    <w:rsid w:val="68917970"/>
    <w:rsid w:val="6908424A"/>
    <w:rsid w:val="69311B7E"/>
    <w:rsid w:val="6AF90F17"/>
    <w:rsid w:val="6B3D17BA"/>
    <w:rsid w:val="6F0B3D72"/>
    <w:rsid w:val="712D14DC"/>
    <w:rsid w:val="72CF4600"/>
    <w:rsid w:val="75FB3D57"/>
    <w:rsid w:val="786B4BC3"/>
    <w:rsid w:val="7C281050"/>
    <w:rsid w:val="7CAE1F5E"/>
    <w:rsid w:val="7D214017"/>
    <w:rsid w:val="7D980ABE"/>
    <w:rsid w:val="7EB25BEF"/>
    <w:rsid w:val="7EC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tabs>
        <w:tab w:val="left" w:pos="420"/>
        <w:tab w:val="right" w:leader="dot" w:pos="9016"/>
      </w:tabs>
      <w:spacing w:after="240" w:line="240" w:lineRule="atLeast"/>
      <w:jc w:val="left"/>
    </w:pPr>
    <w:rPr>
      <w:rFonts w:ascii="华文仿宋" w:hAnsi="华文仿宋" w:eastAsia="仿宋_GB2312"/>
      <w:b/>
      <w:bCs/>
      <w:spacing w:val="-5"/>
      <w:kern w:val="0"/>
      <w:sz w:val="28"/>
      <w:szCs w:val="28"/>
    </w:rPr>
  </w:style>
  <w:style w:type="paragraph" w:styleId="8">
    <w:name w:val="Normal (Web)"/>
    <w:basedOn w:val="1"/>
    <w:uiPriority w:val="0"/>
    <w:rPr>
      <w:sz w:val="24"/>
    </w:rPr>
  </w:style>
  <w:style w:type="paragraph" w:styleId="9">
    <w:name w:val="Title"/>
    <w:basedOn w:val="1"/>
    <w:link w:val="19"/>
    <w:qFormat/>
    <w:uiPriority w:val="10"/>
    <w:pPr>
      <w:spacing w:before="240" w:after="60"/>
      <w:jc w:val="center"/>
      <w:outlineLvl w:val="0"/>
    </w:pPr>
    <w:rPr>
      <w:rFonts w:ascii="Arial" w:hAnsi="Arial" w:cs="Arial"/>
      <w:b/>
      <w:bCs/>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列出段落1"/>
    <w:basedOn w:val="1"/>
    <w:qFormat/>
    <w:uiPriority w:val="0"/>
    <w:pPr>
      <w:ind w:firstLine="420" w:firstLineChars="200"/>
    </w:pPr>
    <w:rPr>
      <w:rFonts w:ascii="Calibri" w:hAnsi="Calibri" w:cs="黑体"/>
      <w:szCs w:val="22"/>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批注框文本 Char"/>
    <w:basedOn w:val="12"/>
    <w:link w:val="4"/>
    <w:qFormat/>
    <w:uiPriority w:val="0"/>
    <w:rPr>
      <w:kern w:val="2"/>
      <w:sz w:val="18"/>
      <w:szCs w:val="18"/>
    </w:rPr>
  </w:style>
  <w:style w:type="paragraph" w:styleId="18">
    <w:name w:val="List Paragraph"/>
    <w:basedOn w:val="1"/>
    <w:unhideWhenUsed/>
    <w:qFormat/>
    <w:uiPriority w:val="99"/>
    <w:pPr>
      <w:ind w:firstLine="420" w:firstLineChars="200"/>
    </w:pPr>
  </w:style>
  <w:style w:type="character" w:customStyle="1" w:styleId="19">
    <w:name w:val="标题 Char"/>
    <w:basedOn w:val="12"/>
    <w:link w:val="9"/>
    <w:qFormat/>
    <w:uiPriority w:val="0"/>
    <w:rPr>
      <w:rFonts w:ascii="Cambria" w:hAnsi="Cambria" w:eastAsia="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cqrcb</Company>
  <Pages>28</Pages>
  <Words>9630</Words>
  <Characters>10694</Characters>
  <Lines>80</Lines>
  <Paragraphs>22</Paragraphs>
  <TotalTime>10</TotalTime>
  <ScaleCrop>false</ScaleCrop>
  <LinksUpToDate>false</LinksUpToDate>
  <CharactersWithSpaces>10793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2020-04-29T07:23:00Z</dcterms:created>
  <dc:creator>香格里拉万俐娅</dc:creator>
  <cp:lastModifiedBy>Administrator</cp:lastModifiedBy>
  <cp:lastPrinted>2020-05-09T09:06:00Z</cp:lastPrinted>
  <dcterms:modified xsi:type="dcterms:W3CDTF">2025-04-27T08:28:18Z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E4E201FBD8EB4F3F9301325DB28198F5_12</vt:lpwstr>
  </property>
</Properties>
</file>